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tblInd w:w="45" w:type="dxa"/>
        <w:tblCellMar>
          <w:left w:w="10" w:type="dxa"/>
          <w:right w:w="10" w:type="dxa"/>
        </w:tblCellMar>
        <w:tblLook w:val="0000" w:firstRow="0" w:lastRow="0" w:firstColumn="0" w:lastColumn="0" w:noHBand="0" w:noVBand="0"/>
      </w:tblPr>
      <w:tblGrid>
        <w:gridCol w:w="4985"/>
        <w:gridCol w:w="4987"/>
      </w:tblGrid>
      <w:tr w:rsidR="00A06CE7" w14:paraId="4C3FB758" w14:textId="77777777">
        <w:tc>
          <w:tcPr>
            <w:tcW w:w="4985" w:type="dxa"/>
            <w:shd w:val="clear" w:color="auto" w:fill="auto"/>
            <w:tcMar>
              <w:top w:w="55" w:type="dxa"/>
              <w:left w:w="55" w:type="dxa"/>
              <w:bottom w:w="55" w:type="dxa"/>
              <w:right w:w="55" w:type="dxa"/>
            </w:tcMar>
          </w:tcPr>
          <w:p w14:paraId="32B5BC17" w14:textId="77777777" w:rsidR="00A06CE7" w:rsidRDefault="00406B9B" w:rsidP="00AF670D">
            <w:pPr>
              <w:pStyle w:val="Heading1"/>
            </w:pPr>
            <w:r>
              <w:t xml:space="preserve">Faculty Council </w:t>
            </w:r>
            <w:r w:rsidR="00AF670D">
              <w:t>Minutes</w:t>
            </w:r>
          </w:p>
        </w:tc>
        <w:tc>
          <w:tcPr>
            <w:tcW w:w="4987" w:type="dxa"/>
            <w:shd w:val="clear" w:color="auto" w:fill="auto"/>
            <w:tcMar>
              <w:top w:w="55" w:type="dxa"/>
              <w:left w:w="55" w:type="dxa"/>
              <w:bottom w:w="55" w:type="dxa"/>
              <w:right w:w="55" w:type="dxa"/>
            </w:tcMar>
          </w:tcPr>
          <w:p w14:paraId="00FD89AA" w14:textId="77777777" w:rsidR="00A06CE7" w:rsidRDefault="00406B9B">
            <w:pPr>
              <w:pStyle w:val="TableContents"/>
              <w:jc w:val="right"/>
            </w:pPr>
            <w:r>
              <w:t>November 14, 2014</w:t>
            </w:r>
          </w:p>
          <w:p w14:paraId="1996E0EE" w14:textId="77777777" w:rsidR="00A06CE7" w:rsidRDefault="00406B9B">
            <w:pPr>
              <w:pStyle w:val="TableContents"/>
              <w:jc w:val="right"/>
            </w:pPr>
            <w:r>
              <w:t>3:00-4:30 PM - Boardroom</w:t>
            </w:r>
          </w:p>
        </w:tc>
      </w:tr>
    </w:tbl>
    <w:p w14:paraId="436988BE" w14:textId="77777777" w:rsidR="00A06CE7" w:rsidRDefault="00A06CE7"/>
    <w:p w14:paraId="42AFB40B" w14:textId="77777777" w:rsidR="00A06CE7" w:rsidRDefault="00406B9B">
      <w:pPr>
        <w:pStyle w:val="Heading2"/>
      </w:pPr>
      <w:r>
        <w:t>Opening</w:t>
      </w:r>
    </w:p>
    <w:p w14:paraId="699AEDB9" w14:textId="77777777" w:rsidR="00A06CE7" w:rsidRDefault="00406B9B">
      <w:r>
        <w:rPr>
          <w:b/>
          <w:bCs/>
        </w:rPr>
        <w:t>Co-Chair Business (10 min)</w:t>
      </w:r>
    </w:p>
    <w:p w14:paraId="779EC957" w14:textId="77777777" w:rsidR="00A06CE7" w:rsidRDefault="00406B9B">
      <w:r>
        <w:t>- Approve Minutes (Oct 10, Oct 24)</w:t>
      </w:r>
      <w:r w:rsidR="00605D44">
        <w:t xml:space="preserve"> approved</w:t>
      </w:r>
    </w:p>
    <w:p w14:paraId="219F0778" w14:textId="7E259D58" w:rsidR="00A06CE7" w:rsidRDefault="00406B9B">
      <w:r>
        <w:t>- Appointments/Approvals</w:t>
      </w:r>
      <w:r w:rsidR="00605D44">
        <w:t xml:space="preserve"> Art Peck for facilities, Deana Murphy asked him to serve as union appointee on Facilities, on hold until we can speak to Art and Deanna to determine if he will be the union or FC appointee and Owen Morgan for Student Affairs </w:t>
      </w:r>
      <w:r>
        <w:t>–</w:t>
      </w:r>
      <w:r w:rsidR="00605D44">
        <w:t xml:space="preserve"> approved</w:t>
      </w:r>
      <w:r>
        <w:t xml:space="preserve">, Faculty Recognition Award group – </w:t>
      </w:r>
      <w:proofErr w:type="spellStart"/>
      <w:r>
        <w:t>Tamberely</w:t>
      </w:r>
      <w:proofErr w:type="spellEnd"/>
      <w:r>
        <w:t xml:space="preserve"> Powell </w:t>
      </w:r>
    </w:p>
    <w:p w14:paraId="6CEE399E" w14:textId="77A42E00" w:rsidR="00A06CE7" w:rsidRDefault="00406B9B">
      <w:r>
        <w:t xml:space="preserve">- Future Topics – </w:t>
      </w:r>
      <w:r w:rsidR="007C7A55">
        <w:t>see bottom of minutes</w:t>
      </w:r>
    </w:p>
    <w:p w14:paraId="0A2556FE" w14:textId="77777777" w:rsidR="00A06CE7" w:rsidRDefault="00406B9B">
      <w:pPr>
        <w:pStyle w:val="Heading2"/>
      </w:pPr>
      <w:r>
        <w:t>Current Topics</w:t>
      </w:r>
    </w:p>
    <w:p w14:paraId="5586F3A9" w14:textId="0C067544" w:rsidR="00A06CE7" w:rsidRDefault="00406B9B" w:rsidP="00422F49">
      <w:pPr>
        <w:pStyle w:val="ListParagraph"/>
        <w:numPr>
          <w:ilvl w:val="0"/>
          <w:numId w:val="2"/>
        </w:numPr>
      </w:pPr>
      <w:r>
        <w:t>Accreditation Report (10 minutes) – Maurice commendations and recommendations were emailed to all faculty and staff by Mary, large number of each</w:t>
      </w:r>
      <w:r w:rsidR="00422F49">
        <w:t>, LCC needs to respond to recommendations, recommendations likely to impact faculty the most: 4 and 5, 4 is assessment related, 5 is program review; within a week a more detailed report will be sent to LCC</w:t>
      </w:r>
      <w:r w:rsidR="00002578">
        <w:t>, College Council has set up a task force to address accreditation report in preparation for Mary meeting with commissioners in January; full report and LCC’s response will be available on line</w:t>
      </w:r>
    </w:p>
    <w:p w14:paraId="4268C94A" w14:textId="77777777" w:rsidR="00422F49" w:rsidRDefault="00422F49" w:rsidP="00422F49">
      <w:pPr>
        <w:pStyle w:val="ListParagraph"/>
      </w:pPr>
    </w:p>
    <w:p w14:paraId="353E8CBC" w14:textId="77777777" w:rsidR="00A06CE7" w:rsidRDefault="00406B9B">
      <w:r>
        <w:t>- No Show Drops (20 minutes)</w:t>
      </w:r>
    </w:p>
    <w:p w14:paraId="3BA9E92E" w14:textId="4FA15EDE" w:rsidR="00A06CE7" w:rsidRDefault="003E31CD">
      <w:pPr>
        <w:rPr>
          <w:rFonts w:ascii="Times" w:eastAsiaTheme="minorEastAsia" w:hAnsi="Times" w:cs="Times"/>
          <w:color w:val="343434"/>
          <w:sz w:val="28"/>
          <w:szCs w:val="28"/>
          <w:lang w:eastAsia="ja-JP" w:bidi="ar-SA"/>
        </w:rPr>
      </w:pPr>
      <w:r>
        <w:rPr>
          <w:rFonts w:ascii="Times" w:eastAsiaTheme="minorEastAsia" w:hAnsi="Times" w:cs="Times"/>
          <w:color w:val="343434"/>
          <w:sz w:val="28"/>
          <w:szCs w:val="28"/>
          <w:lang w:eastAsia="ja-JP" w:bidi="ar-SA"/>
        </w:rPr>
        <w:t>Students not attending the first class meeting will be dropped.  For online classes, students who do not complete the first online assignment by the stated deadline will be dropped.  Thereafter individual instructor syllabi policies apply.</w:t>
      </w:r>
    </w:p>
    <w:p w14:paraId="6975E41E" w14:textId="77777777" w:rsidR="00C01F78" w:rsidRDefault="00C01F78">
      <w:pPr>
        <w:rPr>
          <w:rFonts w:ascii="Times" w:eastAsiaTheme="minorEastAsia" w:hAnsi="Times" w:cs="Times"/>
          <w:color w:val="343434"/>
          <w:sz w:val="28"/>
          <w:szCs w:val="28"/>
          <w:lang w:eastAsia="ja-JP" w:bidi="ar-SA"/>
        </w:rPr>
      </w:pPr>
    </w:p>
    <w:p w14:paraId="6ABD3EF1" w14:textId="3640B1A0" w:rsidR="00C01F78" w:rsidRDefault="00C01F78">
      <w:pPr>
        <w:rPr>
          <w:rFonts w:ascii="Times" w:eastAsiaTheme="minorEastAsia" w:hAnsi="Times" w:cs="Times"/>
          <w:color w:val="343434"/>
          <w:sz w:val="28"/>
          <w:szCs w:val="28"/>
          <w:lang w:eastAsia="ja-JP" w:bidi="ar-SA"/>
        </w:rPr>
      </w:pPr>
      <w:r>
        <w:rPr>
          <w:rFonts w:ascii="Times" w:eastAsiaTheme="minorEastAsia" w:hAnsi="Times" w:cs="Times"/>
          <w:color w:val="343434"/>
          <w:sz w:val="28"/>
          <w:szCs w:val="28"/>
          <w:lang w:eastAsia="ja-JP" w:bidi="ar-SA"/>
        </w:rPr>
        <w:t>Proposed wording is too specific, there isn’t a similar policy at UO or other schools</w:t>
      </w:r>
      <w:r w:rsidR="00E13AC4">
        <w:rPr>
          <w:rFonts w:ascii="Times" w:eastAsiaTheme="minorEastAsia" w:hAnsi="Times" w:cs="Times"/>
          <w:color w:val="343434"/>
          <w:sz w:val="28"/>
          <w:szCs w:val="28"/>
          <w:lang w:eastAsia="ja-JP" w:bidi="ar-SA"/>
        </w:rPr>
        <w:t>, scenarios are too varied</w:t>
      </w:r>
    </w:p>
    <w:p w14:paraId="5FA45039" w14:textId="37925C5B" w:rsidR="00C01F78" w:rsidRDefault="00C01F78">
      <w:pPr>
        <w:rPr>
          <w:rFonts w:ascii="Times" w:eastAsiaTheme="minorEastAsia" w:hAnsi="Times" w:cs="Times"/>
          <w:color w:val="343434"/>
          <w:sz w:val="28"/>
          <w:szCs w:val="28"/>
          <w:lang w:eastAsia="ja-JP" w:bidi="ar-SA"/>
        </w:rPr>
      </w:pPr>
      <w:r>
        <w:rPr>
          <w:rFonts w:ascii="Times" w:eastAsiaTheme="minorEastAsia" w:hAnsi="Times" w:cs="Times"/>
          <w:color w:val="343434"/>
          <w:sz w:val="28"/>
          <w:szCs w:val="28"/>
          <w:lang w:eastAsia="ja-JP" w:bidi="ar-SA"/>
        </w:rPr>
        <w:t>Need clear, consistent policy for students</w:t>
      </w:r>
    </w:p>
    <w:p w14:paraId="3DA6803C" w14:textId="5E35E7F4" w:rsidR="00C01F78" w:rsidRDefault="00ED375F">
      <w:pPr>
        <w:rPr>
          <w:rFonts w:ascii="Times" w:eastAsiaTheme="minorEastAsia" w:hAnsi="Times" w:cs="Times"/>
          <w:color w:val="343434"/>
          <w:sz w:val="28"/>
          <w:szCs w:val="28"/>
          <w:lang w:eastAsia="ja-JP" w:bidi="ar-SA"/>
        </w:rPr>
      </w:pPr>
      <w:r>
        <w:rPr>
          <w:rFonts w:ascii="Times" w:eastAsiaTheme="minorEastAsia" w:hAnsi="Times" w:cs="Times"/>
          <w:color w:val="343434"/>
          <w:sz w:val="28"/>
          <w:szCs w:val="28"/>
          <w:lang w:eastAsia="ja-JP" w:bidi="ar-SA"/>
        </w:rPr>
        <w:t>What happens if something comes up and a student can’t be in class day one? An educational activity can be completed. This would need to be included statement.</w:t>
      </w:r>
    </w:p>
    <w:p w14:paraId="1525979C" w14:textId="3C652C3E" w:rsidR="00ED375F" w:rsidRDefault="00ED375F">
      <w:pPr>
        <w:rPr>
          <w:rFonts w:ascii="Times" w:eastAsiaTheme="minorEastAsia" w:hAnsi="Times" w:cs="Times"/>
          <w:color w:val="343434"/>
          <w:sz w:val="28"/>
          <w:szCs w:val="28"/>
          <w:lang w:eastAsia="ja-JP" w:bidi="ar-SA"/>
        </w:rPr>
      </w:pPr>
      <w:r>
        <w:rPr>
          <w:rFonts w:ascii="Times" w:eastAsiaTheme="minorEastAsia" w:hAnsi="Times" w:cs="Times"/>
          <w:color w:val="343434"/>
          <w:sz w:val="28"/>
          <w:szCs w:val="28"/>
          <w:lang w:eastAsia="ja-JP" w:bidi="ar-SA"/>
        </w:rPr>
        <w:t>No one model will work for all; policy is too strict.</w:t>
      </w:r>
    </w:p>
    <w:p w14:paraId="4904134C" w14:textId="35F9EC13" w:rsidR="00ED375F" w:rsidRDefault="00ED375F">
      <w:pPr>
        <w:rPr>
          <w:rFonts w:ascii="Times" w:eastAsiaTheme="minorEastAsia" w:hAnsi="Times" w:cs="Times"/>
          <w:color w:val="343434"/>
          <w:sz w:val="28"/>
          <w:szCs w:val="28"/>
          <w:lang w:eastAsia="ja-JP" w:bidi="ar-SA"/>
        </w:rPr>
      </w:pPr>
      <w:r>
        <w:rPr>
          <w:rFonts w:ascii="Times" w:eastAsiaTheme="minorEastAsia" w:hAnsi="Times" w:cs="Times"/>
          <w:color w:val="343434"/>
          <w:sz w:val="28"/>
          <w:szCs w:val="28"/>
          <w:lang w:eastAsia="ja-JP" w:bidi="ar-SA"/>
        </w:rPr>
        <w:t>We need a policy people can apply for guidance, faculty are the only ones who know if the student attended, students know expectations, faculty decide to keep students in the class or not; policy isn’t telling faculty what to do</w:t>
      </w:r>
      <w:r w:rsidR="001F76DC">
        <w:rPr>
          <w:rFonts w:ascii="Times" w:eastAsiaTheme="minorEastAsia" w:hAnsi="Times" w:cs="Times"/>
          <w:color w:val="343434"/>
          <w:sz w:val="28"/>
          <w:szCs w:val="28"/>
          <w:lang w:eastAsia="ja-JP" w:bidi="ar-SA"/>
        </w:rPr>
        <w:t>; doesn’t say “faculty will</w:t>
      </w:r>
      <w:proofErr w:type="gramStart"/>
      <w:r w:rsidR="001F76DC">
        <w:rPr>
          <w:rFonts w:ascii="Times" w:eastAsiaTheme="minorEastAsia" w:hAnsi="Times" w:cs="Times"/>
          <w:color w:val="343434"/>
          <w:sz w:val="28"/>
          <w:szCs w:val="28"/>
          <w:lang w:eastAsia="ja-JP" w:bidi="ar-SA"/>
        </w:rPr>
        <w:t>..</w:t>
      </w:r>
      <w:proofErr w:type="gramEnd"/>
      <w:r w:rsidR="001F76DC">
        <w:rPr>
          <w:rFonts w:ascii="Times" w:eastAsiaTheme="minorEastAsia" w:hAnsi="Times" w:cs="Times"/>
          <w:color w:val="343434"/>
          <w:sz w:val="28"/>
          <w:szCs w:val="28"/>
          <w:lang w:eastAsia="ja-JP" w:bidi="ar-SA"/>
        </w:rPr>
        <w:t>”, it doesn’t constrain us as faculty members</w:t>
      </w:r>
    </w:p>
    <w:p w14:paraId="346230E1" w14:textId="3FB8F94C" w:rsidR="001F76DC" w:rsidRDefault="00E13AC4">
      <w:pPr>
        <w:rPr>
          <w:rFonts w:ascii="Times" w:eastAsiaTheme="minorEastAsia" w:hAnsi="Times" w:cs="Times"/>
          <w:color w:val="343434"/>
          <w:sz w:val="28"/>
          <w:szCs w:val="28"/>
          <w:lang w:eastAsia="ja-JP" w:bidi="ar-SA"/>
        </w:rPr>
      </w:pPr>
      <w:r>
        <w:rPr>
          <w:rFonts w:ascii="Times" w:eastAsiaTheme="minorEastAsia" w:hAnsi="Times" w:cs="Times"/>
          <w:color w:val="343434"/>
          <w:sz w:val="28"/>
          <w:szCs w:val="28"/>
          <w:lang w:eastAsia="ja-JP" w:bidi="ar-SA"/>
        </w:rPr>
        <w:t>Statement allows full discretion for students to be added by faculty</w:t>
      </w:r>
    </w:p>
    <w:p w14:paraId="455C1DC4" w14:textId="3C686E4B" w:rsidR="00EA5825" w:rsidRDefault="00EA5825">
      <w:pPr>
        <w:rPr>
          <w:rFonts w:ascii="Times" w:eastAsiaTheme="minorEastAsia" w:hAnsi="Times" w:cs="Times"/>
          <w:color w:val="343434"/>
          <w:sz w:val="28"/>
          <w:szCs w:val="28"/>
          <w:lang w:eastAsia="ja-JP" w:bidi="ar-SA"/>
        </w:rPr>
      </w:pPr>
      <w:r>
        <w:rPr>
          <w:rFonts w:ascii="Times" w:eastAsiaTheme="minorEastAsia" w:hAnsi="Times" w:cs="Times"/>
          <w:color w:val="343434"/>
          <w:sz w:val="28"/>
          <w:szCs w:val="28"/>
          <w:lang w:eastAsia="ja-JP" w:bidi="ar-SA"/>
        </w:rPr>
        <w:t>Drops would still be processed Monday of week 2 by office admin staff, faculty will be the ones to do the dropping</w:t>
      </w:r>
    </w:p>
    <w:p w14:paraId="685EDC96" w14:textId="77777777" w:rsidR="00EA0345" w:rsidRDefault="00EA0345">
      <w:pPr>
        <w:rPr>
          <w:rFonts w:ascii="Times" w:eastAsiaTheme="minorEastAsia" w:hAnsi="Times" w:cs="Times"/>
          <w:color w:val="343434"/>
          <w:sz w:val="28"/>
          <w:szCs w:val="28"/>
          <w:lang w:eastAsia="ja-JP" w:bidi="ar-SA"/>
        </w:rPr>
      </w:pPr>
    </w:p>
    <w:p w14:paraId="2343230A" w14:textId="1A4154F0" w:rsidR="00EA0345" w:rsidRDefault="00EA0345">
      <w:pPr>
        <w:rPr>
          <w:rFonts w:ascii="Times" w:eastAsiaTheme="minorEastAsia" w:hAnsi="Times" w:cs="Times"/>
          <w:color w:val="343434"/>
          <w:sz w:val="28"/>
          <w:szCs w:val="28"/>
          <w:lang w:eastAsia="ja-JP" w:bidi="ar-SA"/>
        </w:rPr>
      </w:pPr>
      <w:r>
        <w:rPr>
          <w:rFonts w:ascii="Times" w:eastAsiaTheme="minorEastAsia" w:hAnsi="Times" w:cs="Times"/>
          <w:color w:val="343434"/>
          <w:sz w:val="28"/>
          <w:szCs w:val="28"/>
          <w:lang w:eastAsia="ja-JP" w:bidi="ar-SA"/>
        </w:rPr>
        <w:t xml:space="preserve">LCC is committed to student success and completion.  Full time attendance is vital for </w:t>
      </w:r>
      <w:r>
        <w:rPr>
          <w:rFonts w:ascii="Times" w:eastAsiaTheme="minorEastAsia" w:hAnsi="Times" w:cs="Times"/>
          <w:color w:val="343434"/>
          <w:sz w:val="28"/>
          <w:szCs w:val="28"/>
          <w:lang w:eastAsia="ja-JP" w:bidi="ar-SA"/>
        </w:rPr>
        <w:lastRenderedPageBreak/>
        <w:t xml:space="preserve">student success. </w:t>
      </w:r>
    </w:p>
    <w:p w14:paraId="57644AFC" w14:textId="77777777" w:rsidR="00EA0345" w:rsidRDefault="00EA0345">
      <w:pPr>
        <w:rPr>
          <w:rFonts w:ascii="Times" w:eastAsiaTheme="minorEastAsia" w:hAnsi="Times" w:cs="Times"/>
          <w:color w:val="343434"/>
          <w:sz w:val="28"/>
          <w:szCs w:val="28"/>
          <w:lang w:eastAsia="ja-JP" w:bidi="ar-SA"/>
        </w:rPr>
      </w:pPr>
    </w:p>
    <w:p w14:paraId="6D156E05" w14:textId="77777777" w:rsidR="007C7A55" w:rsidRDefault="00EA034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ascii="Times" w:eastAsiaTheme="minorEastAsia" w:hAnsi="Times" w:cs="Times"/>
          <w:color w:val="343434"/>
          <w:sz w:val="28"/>
          <w:szCs w:val="28"/>
          <w:lang w:eastAsia="ja-JP" w:bidi="ar-SA"/>
        </w:rPr>
        <w:t>Send</w:t>
      </w:r>
      <w:r w:rsidR="007C7A55">
        <w:rPr>
          <w:rFonts w:ascii="Times" w:eastAsiaTheme="minorEastAsia" w:hAnsi="Times" w:cs="Times"/>
          <w:color w:val="343434"/>
          <w:sz w:val="28"/>
          <w:szCs w:val="28"/>
          <w:lang w:eastAsia="ja-JP" w:bidi="ar-SA"/>
        </w:rPr>
        <w:t xml:space="preserve"> out link to federal regulation: </w:t>
      </w:r>
      <w:r w:rsidR="007C7A55">
        <w:rPr>
          <w:rFonts w:eastAsiaTheme="minorEastAsia" w:cs="Times New Roman"/>
          <w:sz w:val="32"/>
          <w:szCs w:val="32"/>
          <w:lang w:eastAsia="ja-JP" w:bidi="ar-SA"/>
        </w:rPr>
        <w:t>Department of Education Regulations:</w:t>
      </w:r>
    </w:p>
    <w:p w14:paraId="6A2AB185"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 </w:t>
      </w:r>
    </w:p>
    <w:p w14:paraId="02E93754"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Federal Pell Grant Program Regulations</w:t>
      </w:r>
    </w:p>
    <w:p w14:paraId="47FC363B"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34 C.F.R. §690.80(b)(2)(ii) states: “If a student’s projected enrollment status changes during a payment period before the student begins attendance in all of his or her classes for that payment period, the institution shall recalculate the student’s enrollment status to reflect only those classes for which the student actually began attendance.”</w:t>
      </w:r>
    </w:p>
    <w:p w14:paraId="31B94F6D"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 </w:t>
      </w:r>
    </w:p>
    <w:p w14:paraId="2D28D8D9"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General Provisions Regulations</w:t>
      </w:r>
    </w:p>
    <w:p w14:paraId="1313C4EB"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34 C.F.R. §668.21 specifies the required treatment of Title IV grant and loan funds if a recipient does not begin attendance at the institution.  34 C.F.R. §668.219(c) clearly states:</w:t>
      </w:r>
    </w:p>
    <w:p w14:paraId="787614CE"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“(c) For purposes of this section, the Secretary considers that a student has not begun attendance in a payment period or period of enrollment if the institution is unable to document the student’s attendance at any class during the payment period or period of enrollment.”</w:t>
      </w:r>
    </w:p>
    <w:p w14:paraId="65090DD5"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 </w:t>
      </w:r>
    </w:p>
    <w:p w14:paraId="27648CE8"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34 C.F.R. §668.21(a) and (b) provide additional information regarding the return of Title IV grant and loan funds when a student does not begin attendance.</w:t>
      </w:r>
    </w:p>
    <w:p w14:paraId="577E62AB"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 </w:t>
      </w:r>
    </w:p>
    <w:p w14:paraId="269C116A" w14:textId="77777777" w:rsidR="007C7A55" w:rsidRDefault="007C7A55" w:rsidP="007C7A55">
      <w:pPr>
        <w:tabs>
          <w:tab w:val="clear" w:pos="709"/>
        </w:tabs>
        <w:suppressAutoHyphens w:val="0"/>
        <w:autoSpaceDE w:val="0"/>
        <w:autoSpaceDN w:val="0"/>
        <w:adjustRightInd w:val="0"/>
        <w:rPr>
          <w:rFonts w:eastAsiaTheme="minorEastAsia" w:cs="Times New Roman"/>
          <w:sz w:val="32"/>
          <w:szCs w:val="32"/>
          <w:lang w:eastAsia="ja-JP" w:bidi="ar-SA"/>
        </w:rPr>
      </w:pPr>
      <w:r>
        <w:rPr>
          <w:rFonts w:eastAsiaTheme="minorEastAsia" w:cs="Times New Roman"/>
          <w:sz w:val="32"/>
          <w:szCs w:val="32"/>
          <w:lang w:eastAsia="ja-JP" w:bidi="ar-SA"/>
        </w:rPr>
        <w:t>“(a) If a student does not begin attendance in a payment period or period of enrollment—</w:t>
      </w:r>
    </w:p>
    <w:p w14:paraId="4C54DA70" w14:textId="77777777" w:rsidR="007C7A55" w:rsidRDefault="007C7A55" w:rsidP="007C7A55">
      <w:pPr>
        <w:tabs>
          <w:tab w:val="clear" w:pos="709"/>
        </w:tabs>
        <w:suppressAutoHyphens w:val="0"/>
        <w:autoSpaceDE w:val="0"/>
        <w:autoSpaceDN w:val="0"/>
        <w:adjustRightInd w:val="0"/>
        <w:ind w:left="1440" w:hanging="1440"/>
        <w:rPr>
          <w:rFonts w:eastAsiaTheme="minorEastAsia" w:cs="Times New Roman"/>
          <w:sz w:val="32"/>
          <w:szCs w:val="32"/>
          <w:lang w:eastAsia="ja-JP" w:bidi="ar-SA"/>
        </w:rPr>
      </w:pPr>
      <w:r>
        <w:rPr>
          <w:rFonts w:eastAsiaTheme="minorEastAsia" w:cs="Times New Roman"/>
          <w:sz w:val="32"/>
          <w:szCs w:val="32"/>
          <w:lang w:eastAsia="ja-JP" w:bidi="ar-SA"/>
        </w:rPr>
        <w:t>(1</w:t>
      </w:r>
      <w:proofErr w:type="gramStart"/>
      <w:r>
        <w:rPr>
          <w:rFonts w:eastAsiaTheme="minorEastAsia" w:cs="Times New Roman"/>
          <w:sz w:val="32"/>
          <w:szCs w:val="32"/>
          <w:lang w:eastAsia="ja-JP" w:bidi="ar-SA"/>
        </w:rPr>
        <w:t>)</w:t>
      </w:r>
      <w:r>
        <w:rPr>
          <w:rFonts w:eastAsiaTheme="minorEastAsia" w:cs="Times New Roman"/>
          <w:sz w:val="18"/>
          <w:szCs w:val="18"/>
          <w:lang w:eastAsia="ja-JP" w:bidi="ar-SA"/>
        </w:rPr>
        <w:t xml:space="preserve">  </w:t>
      </w:r>
      <w:r>
        <w:rPr>
          <w:rFonts w:eastAsiaTheme="minorEastAsia" w:cs="Times New Roman"/>
          <w:sz w:val="32"/>
          <w:szCs w:val="32"/>
          <w:lang w:eastAsia="ja-JP" w:bidi="ar-SA"/>
        </w:rPr>
        <w:t>The</w:t>
      </w:r>
      <w:proofErr w:type="gramEnd"/>
      <w:r>
        <w:rPr>
          <w:rFonts w:eastAsiaTheme="minorEastAsia" w:cs="Times New Roman"/>
          <w:sz w:val="32"/>
          <w:szCs w:val="32"/>
          <w:lang w:eastAsia="ja-JP" w:bidi="ar-SA"/>
        </w:rPr>
        <w:t xml:space="preserve"> institution must return all title IV, HEA program funds that were credited to the student’s account at the institution or disbursed directly to the student for that payment period or period of enrollment, for Federal Perkins Loan, FSEOG TEACH Grant, Federal Pell Grant, ACG, and National SMART Grant program funds; and</w:t>
      </w:r>
    </w:p>
    <w:p w14:paraId="3D9D908C" w14:textId="6E4CC6BD" w:rsidR="00EA0345" w:rsidRDefault="007C7A55" w:rsidP="007C7A55">
      <w:pPr>
        <w:rPr>
          <w:rFonts w:ascii="Times" w:eastAsiaTheme="minorEastAsia" w:hAnsi="Times" w:cs="Times"/>
          <w:color w:val="343434"/>
          <w:sz w:val="28"/>
          <w:szCs w:val="28"/>
          <w:lang w:eastAsia="ja-JP" w:bidi="ar-SA"/>
        </w:rPr>
      </w:pPr>
      <w:r>
        <w:rPr>
          <w:rFonts w:eastAsiaTheme="minorEastAsia" w:cs="Times New Roman"/>
          <w:sz w:val="32"/>
          <w:szCs w:val="32"/>
          <w:lang w:eastAsia="ja-JP" w:bidi="ar-SA"/>
        </w:rPr>
        <w:t> </w:t>
      </w:r>
      <w:bookmarkStart w:id="0" w:name="_GoBack"/>
      <w:bookmarkEnd w:id="0"/>
    </w:p>
    <w:p w14:paraId="1F954443" w14:textId="77777777" w:rsidR="00EA5825" w:rsidRDefault="00EA5825">
      <w:pPr>
        <w:rPr>
          <w:rFonts w:ascii="Times" w:eastAsiaTheme="minorEastAsia" w:hAnsi="Times" w:cs="Times"/>
          <w:color w:val="343434"/>
          <w:sz w:val="28"/>
          <w:szCs w:val="28"/>
          <w:lang w:eastAsia="ja-JP" w:bidi="ar-SA"/>
        </w:rPr>
      </w:pPr>
    </w:p>
    <w:p w14:paraId="2759E7EB" w14:textId="77777777" w:rsidR="00ED375F" w:rsidRDefault="00ED375F">
      <w:pPr>
        <w:rPr>
          <w:rFonts w:ascii="Times" w:eastAsiaTheme="minorEastAsia" w:hAnsi="Times" w:cs="Times"/>
          <w:color w:val="343434"/>
          <w:sz w:val="28"/>
          <w:szCs w:val="28"/>
          <w:lang w:eastAsia="ja-JP" w:bidi="ar-SA"/>
        </w:rPr>
      </w:pPr>
    </w:p>
    <w:p w14:paraId="551062E4" w14:textId="77777777" w:rsidR="00ED375F" w:rsidRDefault="00ED375F"/>
    <w:p w14:paraId="00635E3C" w14:textId="33B0DCEB" w:rsidR="00A06CE7" w:rsidRDefault="00406B9B">
      <w:pPr>
        <w:pStyle w:val="Heading2"/>
      </w:pPr>
      <w:r>
        <w:lastRenderedPageBreak/>
        <w:t>Council, Committee, Team Reports (15 min)</w:t>
      </w:r>
      <w:r w:rsidR="00632BA2">
        <w:t xml:space="preserve"> </w:t>
      </w:r>
    </w:p>
    <w:p w14:paraId="53B3CC49" w14:textId="2317F964" w:rsidR="00632BA2" w:rsidRPr="00632BA2" w:rsidRDefault="00632BA2" w:rsidP="00632BA2">
      <w:pPr>
        <w:pStyle w:val="Textbody"/>
      </w:pPr>
      <w:r>
        <w:t>Not discussed today, time was used to continue discussion of no show drops</w:t>
      </w:r>
    </w:p>
    <w:p w14:paraId="7F22D313" w14:textId="77777777" w:rsidR="00A06CE7" w:rsidRDefault="00406B9B">
      <w:r>
        <w:t>- College Council, Facilities Council, Learning Council, Student Affairs Council, Technology Council</w:t>
      </w:r>
    </w:p>
    <w:p w14:paraId="76087158" w14:textId="77777777" w:rsidR="00A06CE7" w:rsidRDefault="00406B9B">
      <w:r>
        <w:t>- LCCEA, LCCEF, ASLCC</w:t>
      </w:r>
    </w:p>
    <w:p w14:paraId="3CF12558" w14:textId="77777777" w:rsidR="00A06CE7" w:rsidRDefault="00406B9B">
      <w:r>
        <w:t>- Curriculum Committee, Assessment Team, ARRC</w:t>
      </w:r>
    </w:p>
    <w:p w14:paraId="0A327BDC" w14:textId="77777777" w:rsidR="00A06CE7" w:rsidRDefault="00A06CE7"/>
    <w:p w14:paraId="4DC6670F" w14:textId="77777777" w:rsidR="00A06CE7" w:rsidRDefault="00406B9B">
      <w:pPr>
        <w:pStyle w:val="Heading2"/>
      </w:pPr>
      <w:r>
        <w:t>New Topics (20 min)</w:t>
      </w:r>
    </w:p>
    <w:p w14:paraId="6EEF09A0" w14:textId="77777777" w:rsidR="00632BA2" w:rsidRPr="00632BA2" w:rsidRDefault="00632BA2" w:rsidP="00632BA2">
      <w:pPr>
        <w:pStyle w:val="Textbody"/>
        <w:numPr>
          <w:ilvl w:val="0"/>
          <w:numId w:val="1"/>
        </w:numPr>
      </w:pPr>
      <w:r>
        <w:t>Not discussed today, time was used to continue discussion of no show drops</w:t>
      </w:r>
    </w:p>
    <w:p w14:paraId="26D25AB8" w14:textId="77777777" w:rsidR="00632BA2" w:rsidRDefault="00632BA2">
      <w:pPr>
        <w:pStyle w:val="Textbody"/>
      </w:pPr>
    </w:p>
    <w:p w14:paraId="4F6C96DF" w14:textId="5CD9B3C4" w:rsidR="00A06CE7" w:rsidRDefault="00406B9B">
      <w:pPr>
        <w:pStyle w:val="Textbody"/>
      </w:pPr>
      <w:r>
        <w:t>- Part-time budget driving curriculum decisions</w:t>
      </w:r>
    </w:p>
    <w:p w14:paraId="13E4BC7C" w14:textId="77777777" w:rsidR="00A06CE7" w:rsidRDefault="00A06CE7">
      <w:pPr>
        <w:pStyle w:val="Textbody"/>
      </w:pPr>
    </w:p>
    <w:p w14:paraId="491FA1DC" w14:textId="77777777" w:rsidR="00A06CE7" w:rsidRDefault="00406B9B">
      <w:pPr>
        <w:pStyle w:val="Heading2"/>
      </w:pPr>
      <w:r>
        <w:t>Division Reports (15 min)</w:t>
      </w:r>
    </w:p>
    <w:p w14:paraId="5D915354" w14:textId="77777777" w:rsidR="00A06CE7" w:rsidRDefault="00406B9B">
      <w:r>
        <w:rPr>
          <w:b/>
          <w:bCs/>
        </w:rPr>
        <w:t xml:space="preserve">- </w:t>
      </w:r>
      <w:r>
        <w:t>Divisions report on academic issues and events.  Reports should be less than 3 minutes each.</w:t>
      </w:r>
    </w:p>
    <w:p w14:paraId="2B36B8A0" w14:textId="23FEC7C6" w:rsidR="00A06CE7" w:rsidRDefault="00632BA2">
      <w:r>
        <w:t>Counseling: CES will join Co-op and Workforce</w:t>
      </w:r>
    </w:p>
    <w:p w14:paraId="0042C083" w14:textId="7FBFD195" w:rsidR="00632BA2" w:rsidRDefault="00632BA2">
      <w:r>
        <w:t xml:space="preserve">Math: </w:t>
      </w:r>
      <w:proofErr w:type="spellStart"/>
      <w:r>
        <w:t>Accuplacer</w:t>
      </w:r>
      <w:proofErr w:type="spellEnd"/>
      <w:r>
        <w:t xml:space="preserve"> test will be used hopefully spring term for math placement</w:t>
      </w:r>
    </w:p>
    <w:p w14:paraId="6D8EA731" w14:textId="47EA3349" w:rsidR="00632BA2" w:rsidRDefault="00632BA2">
      <w:r>
        <w:t>Social Science: had a gathering for safety issues on campus for faculty, meeting was taped and is available for viewing, a rep from ASA, Public Safety and Counseling attended, worthwhile activity</w:t>
      </w:r>
    </w:p>
    <w:p w14:paraId="64E8895A" w14:textId="68606FC7" w:rsidR="00632BA2" w:rsidRDefault="00632BA2">
      <w:r>
        <w:t>English: continuing to work out internal policies and processes</w:t>
      </w:r>
    </w:p>
    <w:p w14:paraId="7EBE5F71" w14:textId="33CE8602" w:rsidR="00632BA2" w:rsidRDefault="00632BA2">
      <w:r>
        <w:t>CIT: too many faculty are retiring, retirement age should be raised! Some faculty will not be replaced because they were borrowed from co-op for example</w:t>
      </w:r>
    </w:p>
    <w:p w14:paraId="7CD831D1" w14:textId="4056FA52" w:rsidR="00632BA2" w:rsidRDefault="00632BA2">
      <w:r>
        <w:t>-Board is engaging in community conversations in different communities around Lane County</w:t>
      </w:r>
    </w:p>
    <w:p w14:paraId="0CFC2653" w14:textId="4008F0F1" w:rsidR="00632BA2" w:rsidRDefault="00632BA2">
      <w:r>
        <w:t>For divisions not listed, no report was given</w:t>
      </w:r>
    </w:p>
    <w:p w14:paraId="6D55964F" w14:textId="77777777" w:rsidR="00A06CE7" w:rsidRDefault="00406B9B">
      <w:pPr>
        <w:pStyle w:val="Heading2"/>
      </w:pPr>
      <w:r>
        <w:t>Future Topics</w:t>
      </w:r>
    </w:p>
    <w:p w14:paraId="077439C8" w14:textId="77777777" w:rsidR="00A06CE7" w:rsidRDefault="00406B9B">
      <w:pPr>
        <w:pStyle w:val="Textbody"/>
      </w:pPr>
      <w:r>
        <w:t>- Wait-list</w:t>
      </w:r>
    </w:p>
    <w:p w14:paraId="10D9627C" w14:textId="77777777" w:rsidR="00A06CE7" w:rsidRDefault="00406B9B">
      <w:pPr>
        <w:pStyle w:val="Textbody"/>
      </w:pPr>
      <w:r>
        <w:t>- Program Review</w:t>
      </w:r>
    </w:p>
    <w:p w14:paraId="7EA3E4B1" w14:textId="77777777" w:rsidR="00A06CE7" w:rsidRDefault="00406B9B">
      <w:pPr>
        <w:pStyle w:val="Textbody"/>
      </w:pPr>
      <w:r>
        <w:t>- Academic Freedom</w:t>
      </w:r>
    </w:p>
    <w:p w14:paraId="70895C99" w14:textId="77777777" w:rsidR="00A06CE7" w:rsidRDefault="00406B9B">
      <w:pPr>
        <w:pStyle w:val="Textbody"/>
      </w:pPr>
      <w:r>
        <w:t>- Student Evaluations of Instruction</w:t>
      </w:r>
    </w:p>
    <w:p w14:paraId="60B254FD" w14:textId="77777777" w:rsidR="00A06CE7" w:rsidRDefault="00406B9B">
      <w:pPr>
        <w:pStyle w:val="Textbody"/>
      </w:pPr>
      <w:r>
        <w:t>- Snow Closures</w:t>
      </w:r>
    </w:p>
    <w:sectPr w:rsidR="00A06CE7">
      <w:headerReference w:type="default" r:id="rId8"/>
      <w:pgSz w:w="12240" w:h="15840"/>
      <w:pgMar w:top="1693" w:right="1134" w:bottom="1134" w:left="1134" w:header="1134"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CD71" w14:textId="77777777" w:rsidR="00EA0345" w:rsidRDefault="00EA0345">
      <w:r>
        <w:separator/>
      </w:r>
    </w:p>
  </w:endnote>
  <w:endnote w:type="continuationSeparator" w:id="0">
    <w:p w14:paraId="1EF016F9" w14:textId="77777777" w:rsidR="00EA0345" w:rsidRDefault="00EA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OpenSymbol">
    <w:charset w:val="00"/>
    <w:family w:val="auto"/>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34E0B" w14:textId="77777777" w:rsidR="00EA0345" w:rsidRDefault="00EA0345">
      <w:r>
        <w:separator/>
      </w:r>
    </w:p>
  </w:footnote>
  <w:footnote w:type="continuationSeparator" w:id="0">
    <w:p w14:paraId="17AB6171" w14:textId="77777777" w:rsidR="00EA0345" w:rsidRDefault="00EA03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04B31" w14:textId="77777777" w:rsidR="00EA0345" w:rsidRDefault="00EA03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1EB1"/>
    <w:multiLevelType w:val="multilevel"/>
    <w:tmpl w:val="450EAD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21726C6"/>
    <w:multiLevelType w:val="hybridMultilevel"/>
    <w:tmpl w:val="38101B70"/>
    <w:lvl w:ilvl="0" w:tplc="8E1C4DD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E7"/>
    <w:rsid w:val="00002578"/>
    <w:rsid w:val="001F76DC"/>
    <w:rsid w:val="003E31CD"/>
    <w:rsid w:val="00406B9B"/>
    <w:rsid w:val="00422F49"/>
    <w:rsid w:val="00605D44"/>
    <w:rsid w:val="00627A7B"/>
    <w:rsid w:val="00632BA2"/>
    <w:rsid w:val="007C7A55"/>
    <w:rsid w:val="00A06CE7"/>
    <w:rsid w:val="00AF670D"/>
    <w:rsid w:val="00C01F78"/>
    <w:rsid w:val="00E13AC4"/>
    <w:rsid w:val="00EA0345"/>
    <w:rsid w:val="00EA5825"/>
    <w:rsid w:val="00ED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4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lang w:eastAsia="zh-CN" w:bidi="hi-IN"/>
    </w:rPr>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Header">
    <w:name w:val="header"/>
    <w:basedOn w:val="Normal"/>
    <w:pPr>
      <w:suppressLineNumbers/>
      <w:tabs>
        <w:tab w:val="center" w:pos="4986"/>
        <w:tab w:val="right" w:pos="9972"/>
      </w:tabs>
    </w:pPr>
  </w:style>
  <w:style w:type="paragraph" w:styleId="ListParagraph">
    <w:name w:val="List Paragraph"/>
    <w:basedOn w:val="Normal"/>
    <w:uiPriority w:val="34"/>
    <w:qFormat/>
    <w:rsid w:val="00422F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lang w:eastAsia="zh-CN" w:bidi="hi-IN"/>
    </w:rPr>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Header">
    <w:name w:val="header"/>
    <w:basedOn w:val="Normal"/>
    <w:pPr>
      <w:suppressLineNumbers/>
      <w:tabs>
        <w:tab w:val="center" w:pos="4986"/>
        <w:tab w:val="right" w:pos="9972"/>
      </w:tabs>
    </w:pPr>
  </w:style>
  <w:style w:type="paragraph" w:styleId="ListParagraph">
    <w:name w:val="List Paragraph"/>
    <w:basedOn w:val="Normal"/>
    <w:uiPriority w:val="34"/>
    <w:qFormat/>
    <w:rsid w:val="00422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771</Words>
  <Characters>4401</Characters>
  <Application>Microsoft Macintosh Word</Application>
  <DocSecurity>0</DocSecurity>
  <Lines>36</Lines>
  <Paragraphs>10</Paragraphs>
  <ScaleCrop>false</ScaleCrop>
  <Company>LCC</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Taylor</cp:lastModifiedBy>
  <cp:revision>9</cp:revision>
  <dcterms:created xsi:type="dcterms:W3CDTF">2014-11-14T23:02:00Z</dcterms:created>
  <dcterms:modified xsi:type="dcterms:W3CDTF">2014-11-24T03:45:00Z</dcterms:modified>
</cp:coreProperties>
</file>