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780" w:rsidRPr="00B80E1A" w:rsidRDefault="00D82780" w:rsidP="00D82780">
      <w:pPr>
        <w:pStyle w:val="Default"/>
        <w:rPr>
          <w:rFonts w:asciiTheme="minorHAnsi" w:hAnsiTheme="minorHAnsi"/>
          <w:b/>
          <w:color w:val="244061" w:themeColor="accent1" w:themeShade="80"/>
          <w:sz w:val="36"/>
        </w:rPr>
      </w:pPr>
      <w:r w:rsidRPr="00B80E1A">
        <w:rPr>
          <w:rFonts w:asciiTheme="minorHAnsi" w:hAnsiTheme="minorHAnsi"/>
          <w:b/>
          <w:color w:val="244061" w:themeColor="accent1" w:themeShade="80"/>
          <w:sz w:val="36"/>
        </w:rPr>
        <w:t>Non-Credit Training Certificates</w:t>
      </w:r>
    </w:p>
    <w:p w:rsidR="00D82780" w:rsidRDefault="00D82780" w:rsidP="00D82780">
      <w:pPr>
        <w:pStyle w:val="Default"/>
        <w:rPr>
          <w:rFonts w:asciiTheme="minorHAnsi" w:hAnsiTheme="minorHAnsi"/>
          <w:b/>
          <w:u w:val="single"/>
        </w:rPr>
      </w:pPr>
      <w:r>
        <w:rPr>
          <w:rFonts w:asciiTheme="minorHAnsi" w:hAnsiTheme="minorHAnsi"/>
          <w:b/>
          <w:noProof/>
          <w:u w:val="single"/>
        </w:rPr>
        <mc:AlternateContent>
          <mc:Choice Requires="wps">
            <w:drawing>
              <wp:anchor distT="0" distB="0" distL="114300" distR="114300" simplePos="0" relativeHeight="251659264" behindDoc="0" locked="0" layoutInCell="1" allowOverlap="1" wp14:anchorId="7C299FB7" wp14:editId="63E1209F">
                <wp:simplePos x="0" y="0"/>
                <wp:positionH relativeFrom="column">
                  <wp:posOffset>19050</wp:posOffset>
                </wp:positionH>
                <wp:positionV relativeFrom="paragraph">
                  <wp:posOffset>100965</wp:posOffset>
                </wp:positionV>
                <wp:extent cx="598805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5988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7.95pt" to="473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" strokecolor="#4579b8 [3044]"/>
            </w:pict>
          </mc:Fallback>
        </mc:AlternateContent>
      </w:r>
    </w:p>
    <w:p w:rsidR="00D82780" w:rsidRDefault="00D82780" w:rsidP="00D82780">
      <w:pPr>
        <w:rPr>
          <w:rFonts w:cs="Times New Roman"/>
        </w:rPr>
      </w:pPr>
      <w:r w:rsidRPr="00702902">
        <w:rPr>
          <w:b/>
          <w:i/>
        </w:rPr>
        <w:t>House Bill 2410</w:t>
      </w:r>
      <w:r w:rsidRPr="00B8374D">
        <w:rPr>
          <w:b/>
        </w:rPr>
        <w:t xml:space="preserve"> </w:t>
      </w:r>
      <w:r w:rsidRPr="00702902">
        <w:t>change</w:t>
      </w:r>
      <w:r>
        <w:t>d</w:t>
      </w:r>
      <w:r>
        <w:rPr>
          <w:b/>
        </w:rPr>
        <w:t xml:space="preserve"> </w:t>
      </w:r>
      <w:r w:rsidRPr="00B8374D">
        <w:t xml:space="preserve">existing statutory language to allow community colleges to develop and issue noncredit training certificates. </w:t>
      </w:r>
      <w:r>
        <w:t>A community college must follow procedures established by the Higher Education Coordinating Commission (HECC) to ensure that the course meets an occupational employment need and fulfills a regional educational need.</w:t>
      </w:r>
    </w:p>
    <w:p w:rsidR="00D82780" w:rsidRPr="00BF7F1B" w:rsidRDefault="00D82780" w:rsidP="00D82780">
      <w:pPr>
        <w:rPr>
          <w:rFonts w:cs="Times New Roman"/>
          <w:sz w:val="12"/>
        </w:rPr>
      </w:pPr>
    </w:p>
    <w:p w:rsidR="00D82780" w:rsidRPr="0074109E" w:rsidRDefault="00D82780" w:rsidP="00D82780">
      <w:pPr>
        <w:rPr>
          <w:rFonts w:cs="Times New Roman"/>
        </w:rPr>
      </w:pPr>
      <w:r w:rsidRPr="0074109E">
        <w:t>The Non-Credit Training Workgroup, represented by a majority of community colleges in the state, through careful deliberation clarified the definition, approval criteria and rigor to create an oversight system to maintain the integrity of noncredit training certificates, in deference to credit Certificates of Completion and degree programs.</w:t>
      </w:r>
    </w:p>
    <w:p w:rsidR="007409E3" w:rsidRPr="00BF7F1B" w:rsidRDefault="007409E3">
      <w:pPr>
        <w:rPr>
          <w:sz w:val="20"/>
        </w:rPr>
      </w:pPr>
    </w:p>
    <w:p w:rsidR="00D82780" w:rsidRDefault="00D82780" w:rsidP="00D82780">
      <w:pPr>
        <w:pStyle w:val="Default"/>
        <w:rPr>
          <w:rFonts w:asciiTheme="minorHAnsi" w:hAnsiTheme="minorHAnsi"/>
          <w:b/>
          <w:color w:val="365F91" w:themeColor="accent1" w:themeShade="BF"/>
        </w:rPr>
      </w:pPr>
      <w:r w:rsidRPr="00F26315">
        <w:rPr>
          <w:rFonts w:asciiTheme="minorHAnsi" w:hAnsiTheme="minorHAnsi"/>
          <w:b/>
          <w:color w:val="365F91" w:themeColor="accent1" w:themeShade="BF"/>
        </w:rPr>
        <w:t>BACKGROUND</w:t>
      </w:r>
      <w:r>
        <w:rPr>
          <w:rFonts w:asciiTheme="minorHAnsi" w:hAnsiTheme="minorHAnsi"/>
          <w:b/>
          <w:color w:val="365F91" w:themeColor="accent1" w:themeShade="BF"/>
        </w:rPr>
        <w:t>:</w:t>
      </w:r>
    </w:p>
    <w:p w:rsidR="00D82780" w:rsidRPr="00B8374D" w:rsidRDefault="00D82780" w:rsidP="00D82780">
      <w:r>
        <w:t>Previously</w:t>
      </w:r>
      <w:r w:rsidRPr="00B8374D">
        <w:t xml:space="preserve">, Oregon community colleges </w:t>
      </w:r>
      <w:r>
        <w:t>were</w:t>
      </w:r>
      <w:r w:rsidRPr="00B8374D">
        <w:t xml:space="preserve"> not permitted to issue certificates for noncredit trainings. Noncredit divisions of the seventeen community colleges </w:t>
      </w:r>
      <w:r>
        <w:t>could</w:t>
      </w:r>
      <w:r w:rsidRPr="00B8374D">
        <w:t xml:space="preserve"> only issue “Recognition Awards”.</w:t>
      </w:r>
    </w:p>
    <w:p w:rsidR="00D82780" w:rsidRPr="00B8374D" w:rsidRDefault="00D82780" w:rsidP="00D82780"/>
    <w:p w:rsidR="00D82780" w:rsidRDefault="00D82780" w:rsidP="00D82780">
      <w:r w:rsidRPr="00B8374D">
        <w:t xml:space="preserve">Noncredit training certificates provide documentation of skill attainment for entry-level positions in a wide variety of industries.  They also serve as a gateway to the resources of college, allowing less-skilled workers to attain a college credential. Segments of the workforce are increasingly seeking ways to document competencies and job skills, and many occupational fields value a workforce credential over academic documentation for initial job placement as well as for promotion or advancement. College-sponsored certification programming can also allow for credentialing to be earned in an area where there is no readily available industry standard. </w:t>
      </w:r>
    </w:p>
    <w:p w:rsidR="00D82780" w:rsidRPr="00BF7F1B" w:rsidRDefault="00D82780">
      <w:pPr>
        <w:rPr>
          <w:sz w:val="20"/>
        </w:rPr>
      </w:pPr>
    </w:p>
    <w:p w:rsidR="00D82780" w:rsidRDefault="00D82780" w:rsidP="00D82780">
      <w:r w:rsidRPr="00F26315">
        <w:rPr>
          <w:b/>
          <w:color w:val="365F91" w:themeColor="accent1" w:themeShade="BF"/>
        </w:rPr>
        <w:t>B</w:t>
      </w:r>
      <w:r>
        <w:rPr>
          <w:b/>
          <w:color w:val="365F91" w:themeColor="accent1" w:themeShade="BF"/>
        </w:rPr>
        <w:t>ENEFITS</w:t>
      </w:r>
      <w:r>
        <w:t xml:space="preserve">: </w:t>
      </w:r>
    </w:p>
    <w:p w:rsidR="00D82780" w:rsidRDefault="00D82780" w:rsidP="00D82780">
      <w:pPr>
        <w:pStyle w:val="ListParagraph"/>
        <w:numPr>
          <w:ilvl w:val="0"/>
          <w:numId w:val="1"/>
        </w:numPr>
        <w:rPr>
          <w:rFonts w:cs="Times New Roman"/>
          <w:szCs w:val="28"/>
        </w:rPr>
      </w:pPr>
      <w:r w:rsidRPr="00096B73">
        <w:rPr>
          <w:rFonts w:cs="Times New Roman"/>
          <w:szCs w:val="28"/>
        </w:rPr>
        <w:t>Training certificates are an affordable option for students</w:t>
      </w:r>
    </w:p>
    <w:p w:rsidR="00D82780" w:rsidRDefault="00D82780" w:rsidP="00D82780">
      <w:pPr>
        <w:pStyle w:val="ListParagraph"/>
        <w:numPr>
          <w:ilvl w:val="0"/>
          <w:numId w:val="1"/>
        </w:numPr>
        <w:rPr>
          <w:rFonts w:cs="Times New Roman"/>
          <w:szCs w:val="28"/>
        </w:rPr>
      </w:pPr>
      <w:r>
        <w:rPr>
          <w:rFonts w:cs="Times New Roman"/>
          <w:szCs w:val="28"/>
        </w:rPr>
        <w:t>Training certificates provide a pipeline of trained and retrained workers for industry</w:t>
      </w:r>
    </w:p>
    <w:p w:rsidR="00D82780" w:rsidRDefault="00D82780" w:rsidP="00D82780">
      <w:pPr>
        <w:pStyle w:val="ListParagraph"/>
        <w:numPr>
          <w:ilvl w:val="0"/>
          <w:numId w:val="1"/>
        </w:numPr>
        <w:rPr>
          <w:rFonts w:cs="Times New Roman"/>
          <w:szCs w:val="28"/>
        </w:rPr>
      </w:pPr>
      <w:r>
        <w:rPr>
          <w:rFonts w:cs="Times New Roman"/>
          <w:szCs w:val="28"/>
        </w:rPr>
        <w:t>Training certificates provide less skilled workers initial job placement</w:t>
      </w:r>
    </w:p>
    <w:p w:rsidR="00D82780" w:rsidRPr="00BF7F1B" w:rsidRDefault="00D82780" w:rsidP="00D82780">
      <w:pPr>
        <w:rPr>
          <w:rFonts w:cs="Times New Roman"/>
          <w:sz w:val="20"/>
          <w:szCs w:val="28"/>
        </w:rPr>
      </w:pPr>
    </w:p>
    <w:p w:rsidR="00D82780" w:rsidRPr="00246DEA" w:rsidRDefault="00D82780" w:rsidP="00D82780">
      <w:pPr>
        <w:jc w:val="center"/>
        <w:rPr>
          <w:rFonts w:cs="Times New Roman"/>
          <w:b/>
          <w:color w:val="365F91" w:themeColor="accent1" w:themeShade="BF"/>
          <w:sz w:val="28"/>
          <w:szCs w:val="28"/>
        </w:rPr>
      </w:pPr>
      <w:r w:rsidRPr="00246DEA">
        <w:rPr>
          <w:rFonts w:cs="Times New Roman"/>
          <w:b/>
          <w:color w:val="365F91" w:themeColor="accent1" w:themeShade="BF"/>
          <w:sz w:val="28"/>
          <w:szCs w:val="28"/>
        </w:rPr>
        <w:t>Definition</w:t>
      </w:r>
    </w:p>
    <w:p w:rsidR="00D82780" w:rsidRPr="0053306A" w:rsidRDefault="00D82780" w:rsidP="00D82780">
      <w:r w:rsidRPr="0053306A">
        <w:t>“</w:t>
      </w:r>
      <w:r>
        <w:t>A non-credit t</w:t>
      </w:r>
      <w:r w:rsidRPr="0053306A">
        <w:t>raining certificate is defined as recognition of successful completion of the learning skills and knowledge requisites and educational achievements associated with specific course outcomes in noncredit classes or programs</w:t>
      </w:r>
      <w:r>
        <w:t>”</w:t>
      </w:r>
      <w:r w:rsidRPr="0053306A">
        <w:t>.</w:t>
      </w:r>
    </w:p>
    <w:p w:rsidR="00D82780" w:rsidRPr="00BF7F1B" w:rsidRDefault="00D82780">
      <w:pPr>
        <w:rPr>
          <w:sz w:val="20"/>
        </w:rPr>
      </w:pPr>
    </w:p>
    <w:p w:rsidR="00D82780" w:rsidRPr="00246DEA" w:rsidRDefault="00D82780" w:rsidP="00D82780">
      <w:pPr>
        <w:jc w:val="center"/>
        <w:rPr>
          <w:rFonts w:cs="Times New Roman"/>
          <w:b/>
          <w:color w:val="365F91" w:themeColor="accent1" w:themeShade="BF"/>
          <w:sz w:val="28"/>
          <w:szCs w:val="28"/>
        </w:rPr>
      </w:pPr>
      <w:r w:rsidRPr="00246DEA">
        <w:rPr>
          <w:rFonts w:cs="Times New Roman"/>
          <w:b/>
          <w:color w:val="365F91" w:themeColor="accent1" w:themeShade="BF"/>
          <w:sz w:val="28"/>
          <w:szCs w:val="28"/>
        </w:rPr>
        <w:t>Rigor</w:t>
      </w:r>
    </w:p>
    <w:p w:rsidR="00D82780" w:rsidRPr="0053306A" w:rsidRDefault="00D82780" w:rsidP="00D82780">
      <w:pPr>
        <w:rPr>
          <w:rFonts w:cs="Times New Roman"/>
          <w:szCs w:val="28"/>
        </w:rPr>
      </w:pPr>
      <w:r w:rsidRPr="0053306A">
        <w:t xml:space="preserve">The rigor will be determined at the institutional level but </w:t>
      </w:r>
      <w:r>
        <w:t xml:space="preserve">will follow a </w:t>
      </w:r>
      <w:r w:rsidRPr="0053306A">
        <w:t xml:space="preserve">standardized </w:t>
      </w:r>
      <w:r>
        <w:t>process</w:t>
      </w:r>
      <w:r w:rsidRPr="0053306A">
        <w:t>. “Attendance only” classes w</w:t>
      </w:r>
      <w:r>
        <w:t>ill</w:t>
      </w:r>
      <w:r w:rsidRPr="0053306A">
        <w:t xml:space="preserve"> not qualify for the training certificate categorization. In order to qualify for a training certificate, there must be an assessment of measurable outcomes or mastery of learning and knowledge.  Assessments include, but are not limited to, quizzes,</w:t>
      </w:r>
      <w:r>
        <w:t xml:space="preserve"> </w:t>
      </w:r>
      <w:r w:rsidRPr="0053306A">
        <w:t xml:space="preserve">exams, written assignments, participation, projects or activity or demonstration of skills. The rigor </w:t>
      </w:r>
      <w:r>
        <w:t>must</w:t>
      </w:r>
      <w:r w:rsidRPr="0053306A">
        <w:t xml:space="preserve"> be modeled on national education and industry training benchmarks.</w:t>
      </w:r>
    </w:p>
    <w:p w:rsidR="00BF7F1B" w:rsidRDefault="00BF7F1B" w:rsidP="00D82780">
      <w:pPr>
        <w:jc w:val="center"/>
        <w:rPr>
          <w:b/>
          <w:color w:val="365F91" w:themeColor="accent1" w:themeShade="BF"/>
          <w:sz w:val="28"/>
          <w:szCs w:val="28"/>
        </w:rPr>
      </w:pPr>
    </w:p>
    <w:p w:rsidR="00D82780" w:rsidRPr="007E7030" w:rsidRDefault="00D82780" w:rsidP="00D82780">
      <w:pPr>
        <w:jc w:val="center"/>
        <w:rPr>
          <w:b/>
          <w:color w:val="365F91" w:themeColor="accent1" w:themeShade="BF"/>
          <w:sz w:val="28"/>
          <w:szCs w:val="28"/>
        </w:rPr>
      </w:pPr>
      <w:bookmarkStart w:id="0" w:name="_GoBack"/>
      <w:bookmarkEnd w:id="0"/>
      <w:r w:rsidRPr="007E7030">
        <w:rPr>
          <w:b/>
          <w:color w:val="365F91" w:themeColor="accent1" w:themeShade="BF"/>
          <w:sz w:val="28"/>
          <w:szCs w:val="28"/>
        </w:rPr>
        <w:lastRenderedPageBreak/>
        <w:t>Approval Criteria</w:t>
      </w:r>
    </w:p>
    <w:p w:rsidR="00D82780" w:rsidRPr="006B44B1" w:rsidRDefault="00D82780" w:rsidP="00D82780">
      <w:pPr>
        <w:rPr>
          <w:iCs/>
          <w:sz w:val="10"/>
        </w:rPr>
      </w:pPr>
    </w:p>
    <w:p w:rsidR="00D82780" w:rsidRDefault="00D82780" w:rsidP="00D82780">
      <w:pPr>
        <w:rPr>
          <w:rFonts w:cs="Times New Roman"/>
        </w:rPr>
      </w:pPr>
      <w:r w:rsidRPr="00B8374D">
        <w:t>The certificates c</w:t>
      </w:r>
      <w:r>
        <w:t>an</w:t>
      </w:r>
      <w:r w:rsidRPr="00B8374D">
        <w:t xml:space="preserve"> be awarded for single stand-alone courses or series of courses, with combined 18-210 instructional hours</w:t>
      </w:r>
      <w:r w:rsidRPr="004911CB">
        <w:t xml:space="preserve">.  </w:t>
      </w:r>
      <w:r w:rsidRPr="004911CB">
        <w:rPr>
          <w:rFonts w:cs="Times New Roman"/>
        </w:rPr>
        <w:t>In order to meet the needs of local Oregon communities, the content and rigor would be determined and standardized at the institutional</w:t>
      </w:r>
      <w:r>
        <w:rPr>
          <w:rFonts w:cs="Times New Roman"/>
        </w:rPr>
        <w:t xml:space="preserve"> </w:t>
      </w:r>
      <w:r w:rsidRPr="004911CB">
        <w:rPr>
          <w:rFonts w:cs="Times New Roman"/>
        </w:rPr>
        <w:t>level.</w:t>
      </w:r>
    </w:p>
    <w:p w:rsidR="00D82780" w:rsidRDefault="00D82780" w:rsidP="00D82780">
      <w:pPr>
        <w:rPr>
          <w:rFonts w:cs="Times New Roman"/>
        </w:rPr>
      </w:pPr>
    </w:p>
    <w:p w:rsidR="00D82780" w:rsidRPr="0088708B" w:rsidRDefault="00D82780" w:rsidP="00D82780">
      <w:pPr>
        <w:rPr>
          <w:b/>
          <w:sz w:val="28"/>
          <w:szCs w:val="28"/>
        </w:rPr>
      </w:pPr>
      <w:r w:rsidRPr="0088708B">
        <w:rPr>
          <w:iCs/>
        </w:rPr>
        <w:t>Th</w:t>
      </w:r>
      <w:r>
        <w:rPr>
          <w:iCs/>
        </w:rPr>
        <w:t>e</w:t>
      </w:r>
      <w:r w:rsidRPr="0088708B">
        <w:rPr>
          <w:iCs/>
        </w:rPr>
        <w:t xml:space="preserve"> approval criterion </w:t>
      </w:r>
      <w:r>
        <w:rPr>
          <w:iCs/>
        </w:rPr>
        <w:t xml:space="preserve">is as </w:t>
      </w:r>
      <w:r w:rsidRPr="0088708B">
        <w:rPr>
          <w:iCs/>
        </w:rPr>
        <w:t>follows</w:t>
      </w:r>
      <w:r>
        <w:rPr>
          <w:iCs/>
        </w:rPr>
        <w:t xml:space="preserve">: </w:t>
      </w:r>
    </w:p>
    <w:p w:rsidR="00D82780" w:rsidRDefault="00D82780" w:rsidP="00D82780"/>
    <w:p w:rsidR="00D82780" w:rsidRPr="0088708B" w:rsidRDefault="00D82780" w:rsidP="00D82780">
      <w:pPr>
        <w:pStyle w:val="ListParagraph"/>
        <w:numPr>
          <w:ilvl w:val="0"/>
          <w:numId w:val="2"/>
        </w:numPr>
        <w:autoSpaceDE w:val="0"/>
        <w:autoSpaceDN w:val="0"/>
        <w:adjustRightInd w:val="0"/>
        <w:spacing w:line="360" w:lineRule="auto"/>
        <w:rPr>
          <w:rFonts w:cs="Times New Roman"/>
          <w:bCs/>
        </w:rPr>
      </w:pPr>
      <w:r w:rsidRPr="0088708B">
        <w:rPr>
          <w:rFonts w:cs="Times New Roman"/>
          <w:bCs/>
        </w:rPr>
        <w:t>Classification of Instructional Programs (CIP) Code</w:t>
      </w:r>
      <w:r>
        <w:rPr>
          <w:rFonts w:cs="Times New Roman"/>
          <w:bCs/>
        </w:rPr>
        <w:t xml:space="preserve"> is</w:t>
      </w:r>
      <w:r w:rsidRPr="0088708B">
        <w:rPr>
          <w:rFonts w:cs="Times New Roman"/>
          <w:bCs/>
        </w:rPr>
        <w:t xml:space="preserve"> identified.</w:t>
      </w:r>
    </w:p>
    <w:p w:rsidR="00D82780" w:rsidRPr="0088708B" w:rsidRDefault="00D82780" w:rsidP="00D82780">
      <w:pPr>
        <w:pStyle w:val="ListParagraph"/>
        <w:numPr>
          <w:ilvl w:val="0"/>
          <w:numId w:val="2"/>
        </w:numPr>
        <w:autoSpaceDE w:val="0"/>
        <w:autoSpaceDN w:val="0"/>
        <w:adjustRightInd w:val="0"/>
        <w:spacing w:line="360" w:lineRule="auto"/>
        <w:rPr>
          <w:rFonts w:cs="Times New Roman"/>
          <w:bCs/>
        </w:rPr>
      </w:pPr>
      <w:r w:rsidRPr="0088708B">
        <w:rPr>
          <w:rFonts w:cs="Times New Roman"/>
          <w:bCs/>
        </w:rPr>
        <w:t>C</w:t>
      </w:r>
      <w:r>
        <w:rPr>
          <w:rFonts w:cs="Times New Roman"/>
          <w:bCs/>
        </w:rPr>
        <w:t>ertificate</w:t>
      </w:r>
      <w:r w:rsidRPr="0088708B">
        <w:rPr>
          <w:rFonts w:cs="Times New Roman"/>
          <w:bCs/>
        </w:rPr>
        <w:t xml:space="preserve"> encompasses a minimum of eighteen (18) hours of instruction</w:t>
      </w:r>
      <w:r>
        <w:rPr>
          <w:rFonts w:cs="Times New Roman"/>
          <w:bCs/>
        </w:rPr>
        <w:t xml:space="preserve"> up to a maximum of 210 hours</w:t>
      </w:r>
      <w:r w:rsidRPr="0088708B">
        <w:rPr>
          <w:rFonts w:cs="Times New Roman"/>
          <w:bCs/>
        </w:rPr>
        <w:t>.</w:t>
      </w:r>
    </w:p>
    <w:p w:rsidR="00D82780" w:rsidRPr="00BA204E" w:rsidRDefault="00D82780" w:rsidP="00D82780">
      <w:pPr>
        <w:pStyle w:val="ListParagraph"/>
        <w:numPr>
          <w:ilvl w:val="0"/>
          <w:numId w:val="2"/>
        </w:numPr>
        <w:autoSpaceDE w:val="0"/>
        <w:autoSpaceDN w:val="0"/>
        <w:adjustRightInd w:val="0"/>
        <w:spacing w:line="360" w:lineRule="auto"/>
        <w:rPr>
          <w:rFonts w:cs="Times New Roman"/>
          <w:bCs/>
        </w:rPr>
      </w:pPr>
      <w:r w:rsidRPr="0088708B">
        <w:rPr>
          <w:rFonts w:cs="Times New Roman"/>
          <w:bCs/>
        </w:rPr>
        <w:t>Contact hours for ALL c</w:t>
      </w:r>
      <w:r>
        <w:rPr>
          <w:rFonts w:cs="Times New Roman"/>
          <w:bCs/>
        </w:rPr>
        <w:t>ourses</w:t>
      </w:r>
      <w:r w:rsidRPr="0088708B">
        <w:rPr>
          <w:rFonts w:cs="Times New Roman"/>
          <w:bCs/>
        </w:rPr>
        <w:t xml:space="preserve"> cannot exceed a total of two hundred-ten (210) hours. A single c</w:t>
      </w:r>
      <w:r>
        <w:rPr>
          <w:rFonts w:cs="Times New Roman"/>
          <w:bCs/>
        </w:rPr>
        <w:t>ourse</w:t>
      </w:r>
      <w:r w:rsidRPr="0088708B">
        <w:rPr>
          <w:rFonts w:cs="Times New Roman"/>
          <w:bCs/>
        </w:rPr>
        <w:t xml:space="preserve"> or series of c</w:t>
      </w:r>
      <w:r>
        <w:rPr>
          <w:rFonts w:cs="Times New Roman"/>
          <w:bCs/>
        </w:rPr>
        <w:t>ourses</w:t>
      </w:r>
      <w:r w:rsidRPr="0088708B">
        <w:rPr>
          <w:rFonts w:cs="Times New Roman"/>
          <w:bCs/>
        </w:rPr>
        <w:t xml:space="preserve"> must be completed within the 210-hour limitation.</w:t>
      </w:r>
    </w:p>
    <w:p w:rsidR="00D82780" w:rsidRDefault="00D82780" w:rsidP="00D82780">
      <w:pPr>
        <w:pStyle w:val="ListParagraph"/>
        <w:numPr>
          <w:ilvl w:val="0"/>
          <w:numId w:val="2"/>
        </w:numPr>
        <w:autoSpaceDE w:val="0"/>
        <w:autoSpaceDN w:val="0"/>
        <w:adjustRightInd w:val="0"/>
        <w:spacing w:line="360" w:lineRule="auto"/>
        <w:rPr>
          <w:rFonts w:cs="Times New Roman"/>
          <w:bCs/>
        </w:rPr>
      </w:pPr>
      <w:r>
        <w:rPr>
          <w:rFonts w:cs="Times New Roman"/>
          <w:bCs/>
        </w:rPr>
        <w:t>Course(s)</w:t>
      </w:r>
      <w:r w:rsidRPr="0088708B">
        <w:rPr>
          <w:rFonts w:cs="Times New Roman"/>
          <w:bCs/>
        </w:rPr>
        <w:t xml:space="preserve"> </w:t>
      </w:r>
      <w:r>
        <w:rPr>
          <w:rFonts w:cs="Times New Roman"/>
          <w:bCs/>
        </w:rPr>
        <w:t>must</w:t>
      </w:r>
      <w:r w:rsidRPr="0088708B">
        <w:rPr>
          <w:rFonts w:cs="Times New Roman"/>
          <w:bCs/>
        </w:rPr>
        <w:t xml:space="preserve"> be non</w:t>
      </w:r>
      <w:r>
        <w:rPr>
          <w:rFonts w:cs="Times New Roman"/>
          <w:bCs/>
        </w:rPr>
        <w:t>-</w:t>
      </w:r>
      <w:r w:rsidRPr="0088708B">
        <w:rPr>
          <w:rFonts w:cs="Times New Roman"/>
          <w:bCs/>
        </w:rPr>
        <w:t>credit.</w:t>
      </w:r>
    </w:p>
    <w:p w:rsidR="00D82780" w:rsidRPr="0088708B" w:rsidRDefault="00D82780" w:rsidP="00D82780">
      <w:pPr>
        <w:pStyle w:val="ListParagraph"/>
        <w:numPr>
          <w:ilvl w:val="0"/>
          <w:numId w:val="2"/>
        </w:numPr>
        <w:autoSpaceDE w:val="0"/>
        <w:autoSpaceDN w:val="0"/>
        <w:adjustRightInd w:val="0"/>
        <w:spacing w:line="360" w:lineRule="auto"/>
        <w:rPr>
          <w:rFonts w:cs="Times New Roman"/>
          <w:bCs/>
        </w:rPr>
      </w:pPr>
      <w:r>
        <w:rPr>
          <w:rFonts w:cs="Times New Roman"/>
          <w:bCs/>
        </w:rPr>
        <w:t>Course(s) must include an assessment of measurable outcomes or mastery of learning and knowledge.</w:t>
      </w:r>
    </w:p>
    <w:p w:rsidR="00D82780" w:rsidRPr="0088708B" w:rsidRDefault="00D82780" w:rsidP="00D82780">
      <w:pPr>
        <w:pStyle w:val="ListParagraph"/>
        <w:numPr>
          <w:ilvl w:val="0"/>
          <w:numId w:val="2"/>
        </w:numPr>
        <w:autoSpaceDE w:val="0"/>
        <w:autoSpaceDN w:val="0"/>
        <w:adjustRightInd w:val="0"/>
        <w:spacing w:line="360" w:lineRule="auto"/>
        <w:rPr>
          <w:rFonts w:cs="Times New Roman"/>
          <w:bCs/>
        </w:rPr>
      </w:pPr>
      <w:r>
        <w:rPr>
          <w:rFonts w:cs="Times New Roman"/>
          <w:bCs/>
        </w:rPr>
        <w:t>Certificate</w:t>
      </w:r>
      <w:r w:rsidRPr="0088708B">
        <w:rPr>
          <w:rFonts w:cs="Times New Roman"/>
          <w:bCs/>
        </w:rPr>
        <w:t xml:space="preserve"> </w:t>
      </w:r>
      <w:r>
        <w:rPr>
          <w:rFonts w:cs="Times New Roman"/>
          <w:bCs/>
        </w:rPr>
        <w:t>must</w:t>
      </w:r>
      <w:r w:rsidRPr="0088708B">
        <w:rPr>
          <w:rFonts w:cs="Times New Roman"/>
          <w:bCs/>
        </w:rPr>
        <w:t xml:space="preserve"> be </w:t>
      </w:r>
      <w:proofErr w:type="spellStart"/>
      <w:r w:rsidRPr="0088708B">
        <w:rPr>
          <w:rFonts w:cs="Times New Roman"/>
          <w:bCs/>
        </w:rPr>
        <w:t>transcripted</w:t>
      </w:r>
      <w:proofErr w:type="spellEnd"/>
      <w:r w:rsidRPr="0088708B">
        <w:rPr>
          <w:noProof/>
        </w:rPr>
        <w:t xml:space="preserve"> as per individual institution’s transcripting policy.</w:t>
      </w:r>
    </w:p>
    <w:p w:rsidR="00D82780" w:rsidRPr="0088708B" w:rsidRDefault="00D82780" w:rsidP="00D82780">
      <w:pPr>
        <w:pStyle w:val="ListParagraph"/>
        <w:numPr>
          <w:ilvl w:val="0"/>
          <w:numId w:val="2"/>
        </w:numPr>
        <w:autoSpaceDE w:val="0"/>
        <w:autoSpaceDN w:val="0"/>
        <w:adjustRightInd w:val="0"/>
        <w:spacing w:line="360" w:lineRule="auto"/>
        <w:rPr>
          <w:rFonts w:cs="Times New Roman"/>
          <w:bCs/>
        </w:rPr>
      </w:pPr>
      <w:r w:rsidRPr="0088708B">
        <w:rPr>
          <w:rFonts w:cs="Times New Roman"/>
          <w:bCs/>
        </w:rPr>
        <w:t xml:space="preserve">Chief Academic Officer at each community college </w:t>
      </w:r>
      <w:r>
        <w:rPr>
          <w:rFonts w:cs="Times New Roman"/>
          <w:bCs/>
        </w:rPr>
        <w:t>must validate</w:t>
      </w:r>
      <w:r w:rsidRPr="0088708B">
        <w:rPr>
          <w:rFonts w:cs="Times New Roman"/>
          <w:bCs/>
        </w:rPr>
        <w:t xml:space="preserve"> standards prior to submission of </w:t>
      </w:r>
      <w:r>
        <w:rPr>
          <w:rFonts w:cs="Times New Roman"/>
          <w:bCs/>
        </w:rPr>
        <w:t xml:space="preserve">certificate </w:t>
      </w:r>
      <w:r w:rsidRPr="0088708B">
        <w:rPr>
          <w:rFonts w:cs="Times New Roman"/>
          <w:bCs/>
        </w:rPr>
        <w:t>application.</w:t>
      </w:r>
    </w:p>
    <w:p w:rsidR="00D82780" w:rsidRPr="0088708B" w:rsidRDefault="00D82780" w:rsidP="00D82780">
      <w:pPr>
        <w:pStyle w:val="ListParagraph"/>
        <w:numPr>
          <w:ilvl w:val="0"/>
          <w:numId w:val="2"/>
        </w:numPr>
        <w:spacing w:line="360" w:lineRule="auto"/>
        <w:rPr>
          <w:rFonts w:cs="Times New Roman"/>
          <w:bCs/>
        </w:rPr>
      </w:pPr>
      <w:r w:rsidRPr="0088708B">
        <w:rPr>
          <w:rFonts w:cs="Times New Roman"/>
          <w:bCs/>
        </w:rPr>
        <w:t xml:space="preserve">College </w:t>
      </w:r>
      <w:r>
        <w:rPr>
          <w:rFonts w:cs="Times New Roman"/>
          <w:bCs/>
        </w:rPr>
        <w:t>submits application into the state program approval online system (</w:t>
      </w:r>
      <w:proofErr w:type="spellStart"/>
      <w:r>
        <w:rPr>
          <w:rFonts w:cs="Times New Roman"/>
          <w:bCs/>
        </w:rPr>
        <w:t>Webforms</w:t>
      </w:r>
      <w:proofErr w:type="spellEnd"/>
      <w:r>
        <w:rPr>
          <w:rFonts w:cs="Times New Roman"/>
          <w:bCs/>
        </w:rPr>
        <w:t xml:space="preserve">) to gain state approval prior to </w:t>
      </w:r>
      <w:r w:rsidRPr="0088708B">
        <w:rPr>
          <w:rFonts w:cs="Times New Roman"/>
          <w:bCs/>
        </w:rPr>
        <w:t xml:space="preserve">offering the </w:t>
      </w:r>
      <w:r>
        <w:rPr>
          <w:rFonts w:cs="Times New Roman"/>
          <w:bCs/>
        </w:rPr>
        <w:t>certificate</w:t>
      </w:r>
      <w:r w:rsidRPr="0088708B">
        <w:rPr>
          <w:rFonts w:cs="Times New Roman"/>
          <w:bCs/>
        </w:rPr>
        <w:t>.</w:t>
      </w:r>
    </w:p>
    <w:p w:rsidR="00D82780" w:rsidRDefault="00D82780" w:rsidP="00D82780"/>
    <w:sectPr w:rsidR="00D8278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780" w:rsidRDefault="00D82780" w:rsidP="00D82780">
      <w:r>
        <w:separator/>
      </w:r>
    </w:p>
  </w:endnote>
  <w:endnote w:type="continuationSeparator" w:id="0">
    <w:p w:rsidR="00D82780" w:rsidRDefault="00D82780" w:rsidP="00D82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4770E2">
      <w:tc>
        <w:tcPr>
          <w:tcW w:w="918" w:type="dxa"/>
        </w:tcPr>
        <w:p w:rsidR="004770E2" w:rsidRDefault="004770E2">
          <w:pPr>
            <w:pStyle w:val="Footer"/>
            <w:jc w:val="right"/>
            <w:rPr>
              <w:b/>
              <w:bCs/>
              <w:color w:val="4F81BD" w:themeColor="accent1"/>
              <w:sz w:val="32"/>
              <w:szCs w:val="32"/>
              <w14:numForm w14:val="oldStyle"/>
            </w:rPr>
          </w:pPr>
          <w:r>
            <w:rPr>
              <w:sz w:val="22"/>
              <w:szCs w:val="22"/>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sz w:val="22"/>
              <w:szCs w:val="22"/>
              <w14:shadow w14:blurRad="50800" w14:dist="38100" w14:dir="2700000" w14:sx="100000" w14:sy="100000" w14:kx="0" w14:ky="0" w14:algn="tl">
                <w14:srgbClr w14:val="000000">
                  <w14:alpha w14:val="60000"/>
                </w14:srgbClr>
              </w14:shadow>
              <w14:numForm w14:val="oldStyle"/>
            </w:rPr>
            <w:fldChar w:fldCharType="separate"/>
          </w:r>
          <w:r w:rsidR="00BF7F1B" w:rsidRPr="00BF7F1B">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4770E2" w:rsidRDefault="00164CDA">
          <w:pPr>
            <w:pStyle w:val="Footer"/>
          </w:pPr>
          <w:sdt>
            <w:sdtPr>
              <w:rPr>
                <w:color w:val="000000" w:themeColor="text1"/>
                <w:sz w:val="18"/>
              </w:rPr>
              <w:alias w:val="Author"/>
              <w:id w:val="54214575"/>
              <w:placeholder>
                <w:docPart w:val="E70DC421BC674C8AA598F205725AF39A"/>
              </w:placeholder>
              <w:dataBinding w:prefixMappings="xmlns:ns0='http://schemas.openxmlformats.org/package/2006/metadata/core-properties' xmlns:ns1='http://purl.org/dc/elements/1.1/'" w:xpath="/ns0:coreProperties[1]/ns1:creator[1]" w:storeItemID="{6C3C8BC8-F283-45AE-878A-BAB7291924A1}"/>
              <w:text/>
            </w:sdtPr>
            <w:sdtContent>
              <w:r w:rsidRPr="00745BBC">
                <w:rPr>
                  <w:color w:val="000000" w:themeColor="text1"/>
                  <w:sz w:val="18"/>
                </w:rPr>
                <w:t>Higher Education Coordinating Commission/Office of Community Colleges &amp; Workforce Development</w:t>
              </w:r>
              <w:r>
                <w:rPr>
                  <w:color w:val="000000" w:themeColor="text1"/>
                  <w:sz w:val="18"/>
                </w:rPr>
                <w:t>, 9/15/15</w:t>
              </w:r>
            </w:sdtContent>
          </w:sdt>
        </w:p>
      </w:tc>
    </w:tr>
  </w:tbl>
  <w:p w:rsidR="00745BBC" w:rsidRDefault="00745B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780" w:rsidRDefault="00D82780" w:rsidP="00D82780">
      <w:r>
        <w:separator/>
      </w:r>
    </w:p>
  </w:footnote>
  <w:footnote w:type="continuationSeparator" w:id="0">
    <w:p w:rsidR="00D82780" w:rsidRDefault="00D82780" w:rsidP="00D827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7025B"/>
    <w:multiLevelType w:val="hybridMultilevel"/>
    <w:tmpl w:val="297853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C527CA"/>
    <w:multiLevelType w:val="hybridMultilevel"/>
    <w:tmpl w:val="E0E697DA"/>
    <w:lvl w:ilvl="0" w:tplc="1DFCA214">
      <w:start w:val="1"/>
      <w:numFmt w:val="bullet"/>
      <w:lvlText w:val=""/>
      <w:lvlJc w:val="left"/>
      <w:pPr>
        <w:ind w:left="810" w:hanging="360"/>
      </w:pPr>
      <w:rPr>
        <w:rFonts w:ascii="Wingdings" w:hAnsi="Wingdings" w:hint="default"/>
        <w:color w:val="365F91" w:themeColor="accent1" w:themeShade="BF"/>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780"/>
    <w:rsid w:val="000B527C"/>
    <w:rsid w:val="00164CDA"/>
    <w:rsid w:val="004770E2"/>
    <w:rsid w:val="004A687A"/>
    <w:rsid w:val="007409E3"/>
    <w:rsid w:val="00745BBC"/>
    <w:rsid w:val="00856E5B"/>
    <w:rsid w:val="00BF7F1B"/>
    <w:rsid w:val="00D82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78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2780"/>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D82780"/>
    <w:pPr>
      <w:ind w:left="720"/>
      <w:contextualSpacing/>
    </w:pPr>
  </w:style>
  <w:style w:type="paragraph" w:styleId="FootnoteText">
    <w:name w:val="footnote text"/>
    <w:basedOn w:val="Normal"/>
    <w:link w:val="FootnoteTextChar"/>
    <w:uiPriority w:val="99"/>
    <w:unhideWhenUsed/>
    <w:rsid w:val="00D82780"/>
  </w:style>
  <w:style w:type="character" w:customStyle="1" w:styleId="FootnoteTextChar">
    <w:name w:val="Footnote Text Char"/>
    <w:basedOn w:val="DefaultParagraphFont"/>
    <w:link w:val="FootnoteText"/>
    <w:uiPriority w:val="99"/>
    <w:rsid w:val="00D82780"/>
    <w:rPr>
      <w:rFonts w:eastAsiaTheme="minorEastAsia"/>
      <w:sz w:val="24"/>
      <w:szCs w:val="24"/>
    </w:rPr>
  </w:style>
  <w:style w:type="character" w:styleId="FootnoteReference">
    <w:name w:val="footnote reference"/>
    <w:basedOn w:val="DefaultParagraphFont"/>
    <w:uiPriority w:val="99"/>
    <w:unhideWhenUsed/>
    <w:rsid w:val="00D82780"/>
    <w:rPr>
      <w:vertAlign w:val="superscript"/>
    </w:rPr>
  </w:style>
  <w:style w:type="paragraph" w:styleId="Header">
    <w:name w:val="header"/>
    <w:basedOn w:val="Normal"/>
    <w:link w:val="HeaderChar"/>
    <w:uiPriority w:val="99"/>
    <w:unhideWhenUsed/>
    <w:rsid w:val="00745BBC"/>
    <w:pPr>
      <w:tabs>
        <w:tab w:val="center" w:pos="4680"/>
        <w:tab w:val="right" w:pos="9360"/>
      </w:tabs>
    </w:pPr>
  </w:style>
  <w:style w:type="character" w:customStyle="1" w:styleId="HeaderChar">
    <w:name w:val="Header Char"/>
    <w:basedOn w:val="DefaultParagraphFont"/>
    <w:link w:val="Header"/>
    <w:uiPriority w:val="99"/>
    <w:rsid w:val="00745BBC"/>
    <w:rPr>
      <w:rFonts w:eastAsiaTheme="minorEastAsia"/>
      <w:sz w:val="24"/>
      <w:szCs w:val="24"/>
    </w:rPr>
  </w:style>
  <w:style w:type="paragraph" w:styleId="Footer">
    <w:name w:val="footer"/>
    <w:basedOn w:val="Normal"/>
    <w:link w:val="FooterChar"/>
    <w:uiPriority w:val="99"/>
    <w:unhideWhenUsed/>
    <w:rsid w:val="00745BBC"/>
    <w:pPr>
      <w:tabs>
        <w:tab w:val="center" w:pos="4680"/>
        <w:tab w:val="right" w:pos="9360"/>
      </w:tabs>
    </w:pPr>
  </w:style>
  <w:style w:type="character" w:customStyle="1" w:styleId="FooterChar">
    <w:name w:val="Footer Char"/>
    <w:basedOn w:val="DefaultParagraphFont"/>
    <w:link w:val="Footer"/>
    <w:uiPriority w:val="99"/>
    <w:rsid w:val="00745BBC"/>
    <w:rPr>
      <w:rFonts w:eastAsiaTheme="minorEastAsia"/>
      <w:sz w:val="24"/>
      <w:szCs w:val="24"/>
    </w:rPr>
  </w:style>
  <w:style w:type="paragraph" w:styleId="NoSpacing">
    <w:name w:val="No Spacing"/>
    <w:link w:val="NoSpacingChar"/>
    <w:uiPriority w:val="1"/>
    <w:qFormat/>
    <w:rsid w:val="00745B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45BBC"/>
    <w:rPr>
      <w:rFonts w:eastAsiaTheme="minorEastAsia"/>
      <w:lang w:eastAsia="ja-JP"/>
    </w:rPr>
  </w:style>
  <w:style w:type="paragraph" w:styleId="BalloonText">
    <w:name w:val="Balloon Text"/>
    <w:basedOn w:val="Normal"/>
    <w:link w:val="BalloonTextChar"/>
    <w:uiPriority w:val="99"/>
    <w:semiHidden/>
    <w:unhideWhenUsed/>
    <w:rsid w:val="00745BBC"/>
    <w:rPr>
      <w:rFonts w:ascii="Tahoma" w:hAnsi="Tahoma" w:cs="Tahoma"/>
      <w:sz w:val="16"/>
      <w:szCs w:val="16"/>
    </w:rPr>
  </w:style>
  <w:style w:type="character" w:customStyle="1" w:styleId="BalloonTextChar">
    <w:name w:val="Balloon Text Char"/>
    <w:basedOn w:val="DefaultParagraphFont"/>
    <w:link w:val="BalloonText"/>
    <w:uiPriority w:val="99"/>
    <w:semiHidden/>
    <w:rsid w:val="00745BBC"/>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78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2780"/>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D82780"/>
    <w:pPr>
      <w:ind w:left="720"/>
      <w:contextualSpacing/>
    </w:pPr>
  </w:style>
  <w:style w:type="paragraph" w:styleId="FootnoteText">
    <w:name w:val="footnote text"/>
    <w:basedOn w:val="Normal"/>
    <w:link w:val="FootnoteTextChar"/>
    <w:uiPriority w:val="99"/>
    <w:unhideWhenUsed/>
    <w:rsid w:val="00D82780"/>
  </w:style>
  <w:style w:type="character" w:customStyle="1" w:styleId="FootnoteTextChar">
    <w:name w:val="Footnote Text Char"/>
    <w:basedOn w:val="DefaultParagraphFont"/>
    <w:link w:val="FootnoteText"/>
    <w:uiPriority w:val="99"/>
    <w:rsid w:val="00D82780"/>
    <w:rPr>
      <w:rFonts w:eastAsiaTheme="minorEastAsia"/>
      <w:sz w:val="24"/>
      <w:szCs w:val="24"/>
    </w:rPr>
  </w:style>
  <w:style w:type="character" w:styleId="FootnoteReference">
    <w:name w:val="footnote reference"/>
    <w:basedOn w:val="DefaultParagraphFont"/>
    <w:uiPriority w:val="99"/>
    <w:unhideWhenUsed/>
    <w:rsid w:val="00D82780"/>
    <w:rPr>
      <w:vertAlign w:val="superscript"/>
    </w:rPr>
  </w:style>
  <w:style w:type="paragraph" w:styleId="Header">
    <w:name w:val="header"/>
    <w:basedOn w:val="Normal"/>
    <w:link w:val="HeaderChar"/>
    <w:uiPriority w:val="99"/>
    <w:unhideWhenUsed/>
    <w:rsid w:val="00745BBC"/>
    <w:pPr>
      <w:tabs>
        <w:tab w:val="center" w:pos="4680"/>
        <w:tab w:val="right" w:pos="9360"/>
      </w:tabs>
    </w:pPr>
  </w:style>
  <w:style w:type="character" w:customStyle="1" w:styleId="HeaderChar">
    <w:name w:val="Header Char"/>
    <w:basedOn w:val="DefaultParagraphFont"/>
    <w:link w:val="Header"/>
    <w:uiPriority w:val="99"/>
    <w:rsid w:val="00745BBC"/>
    <w:rPr>
      <w:rFonts w:eastAsiaTheme="minorEastAsia"/>
      <w:sz w:val="24"/>
      <w:szCs w:val="24"/>
    </w:rPr>
  </w:style>
  <w:style w:type="paragraph" w:styleId="Footer">
    <w:name w:val="footer"/>
    <w:basedOn w:val="Normal"/>
    <w:link w:val="FooterChar"/>
    <w:uiPriority w:val="99"/>
    <w:unhideWhenUsed/>
    <w:rsid w:val="00745BBC"/>
    <w:pPr>
      <w:tabs>
        <w:tab w:val="center" w:pos="4680"/>
        <w:tab w:val="right" w:pos="9360"/>
      </w:tabs>
    </w:pPr>
  </w:style>
  <w:style w:type="character" w:customStyle="1" w:styleId="FooterChar">
    <w:name w:val="Footer Char"/>
    <w:basedOn w:val="DefaultParagraphFont"/>
    <w:link w:val="Footer"/>
    <w:uiPriority w:val="99"/>
    <w:rsid w:val="00745BBC"/>
    <w:rPr>
      <w:rFonts w:eastAsiaTheme="minorEastAsia"/>
      <w:sz w:val="24"/>
      <w:szCs w:val="24"/>
    </w:rPr>
  </w:style>
  <w:style w:type="paragraph" w:styleId="NoSpacing">
    <w:name w:val="No Spacing"/>
    <w:link w:val="NoSpacingChar"/>
    <w:uiPriority w:val="1"/>
    <w:qFormat/>
    <w:rsid w:val="00745B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45BBC"/>
    <w:rPr>
      <w:rFonts w:eastAsiaTheme="minorEastAsia"/>
      <w:lang w:eastAsia="ja-JP"/>
    </w:rPr>
  </w:style>
  <w:style w:type="paragraph" w:styleId="BalloonText">
    <w:name w:val="Balloon Text"/>
    <w:basedOn w:val="Normal"/>
    <w:link w:val="BalloonTextChar"/>
    <w:uiPriority w:val="99"/>
    <w:semiHidden/>
    <w:unhideWhenUsed/>
    <w:rsid w:val="00745BBC"/>
    <w:rPr>
      <w:rFonts w:ascii="Tahoma" w:hAnsi="Tahoma" w:cs="Tahoma"/>
      <w:sz w:val="16"/>
      <w:szCs w:val="16"/>
    </w:rPr>
  </w:style>
  <w:style w:type="character" w:customStyle="1" w:styleId="BalloonTextChar">
    <w:name w:val="Balloon Text Char"/>
    <w:basedOn w:val="DefaultParagraphFont"/>
    <w:link w:val="BalloonText"/>
    <w:uiPriority w:val="99"/>
    <w:semiHidden/>
    <w:rsid w:val="00745BB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70DC421BC674C8AA598F205725AF39A"/>
        <w:category>
          <w:name w:val="General"/>
          <w:gallery w:val="placeholder"/>
        </w:category>
        <w:types>
          <w:type w:val="bbPlcHdr"/>
        </w:types>
        <w:behaviors>
          <w:behavior w:val="content"/>
        </w:behaviors>
        <w:guid w:val="{C4AAAEAF-5C9C-4CDA-99DF-2C0B1D6F1D21}"/>
      </w:docPartPr>
      <w:docPartBody>
        <w:p w:rsidR="00000000" w:rsidRDefault="00087B2D" w:rsidP="00087B2D">
          <w:pPr>
            <w:pStyle w:val="E70DC421BC674C8AA598F205725AF39A"/>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B2D"/>
    <w:rsid w:val="00087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D52C646304485A9210BA6EEDB24C0C">
    <w:name w:val="46D52C646304485A9210BA6EEDB24C0C"/>
    <w:rsid w:val="00087B2D"/>
  </w:style>
  <w:style w:type="paragraph" w:customStyle="1" w:styleId="BBED12C13C47479D89F5E29B7226072E">
    <w:name w:val="BBED12C13C47479D89F5E29B7226072E"/>
    <w:rsid w:val="00087B2D"/>
  </w:style>
  <w:style w:type="paragraph" w:customStyle="1" w:styleId="E70DC421BC674C8AA598F205725AF39A">
    <w:name w:val="E70DC421BC674C8AA598F205725AF39A"/>
    <w:rsid w:val="00087B2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D52C646304485A9210BA6EEDB24C0C">
    <w:name w:val="46D52C646304485A9210BA6EEDB24C0C"/>
    <w:rsid w:val="00087B2D"/>
  </w:style>
  <w:style w:type="paragraph" w:customStyle="1" w:styleId="BBED12C13C47479D89F5E29B7226072E">
    <w:name w:val="BBED12C13C47479D89F5E29B7226072E"/>
    <w:rsid w:val="00087B2D"/>
  </w:style>
  <w:style w:type="paragraph" w:customStyle="1" w:styleId="E70DC421BC674C8AA598F205725AF39A">
    <w:name w:val="E70DC421BC674C8AA598F205725AF39A"/>
    <w:rsid w:val="00087B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Dept. Community Colleges and Workforce Development</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Higher Education Coordinating Commission/Office of Community Colleges &amp; Workforce Development, 9/15/15</dc:creator>
  <cp:lastModifiedBy>Evelyn M Roth</cp:lastModifiedBy>
  <cp:revision>2</cp:revision>
  <dcterms:created xsi:type="dcterms:W3CDTF">2015-09-16T22:59:00Z</dcterms:created>
  <dcterms:modified xsi:type="dcterms:W3CDTF">2015-09-16T23:17:00Z</dcterms:modified>
</cp:coreProperties>
</file>