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2D" w:rsidRPr="00953F2D" w:rsidRDefault="00953F2D" w:rsidP="00953F2D">
      <w:pPr>
        <w:pStyle w:val="Heading1"/>
        <w:rPr>
          <w:color w:val="auto"/>
        </w:rPr>
      </w:pPr>
      <w:bookmarkStart w:id="0" w:name="_GoBack"/>
      <w:bookmarkEnd w:id="0"/>
      <w:proofErr w:type="gramStart"/>
      <w:r>
        <w:rPr>
          <w:color w:val="auto"/>
        </w:rPr>
        <w:t xml:space="preserve">Proposed Course Outline, </w:t>
      </w:r>
      <w:r w:rsidRPr="00953F2D">
        <w:rPr>
          <w:color w:val="auto"/>
        </w:rPr>
        <w:t>Section 6.</w:t>
      </w:r>
      <w:proofErr w:type="gramEnd"/>
      <w:r w:rsidRPr="00953F2D">
        <w:rPr>
          <w:color w:val="auto"/>
        </w:rPr>
        <w:t xml:space="preserve"> Overlap Courses Rational</w:t>
      </w:r>
    </w:p>
    <w:p w:rsidR="00B33C36" w:rsidRDefault="00B33C36" w:rsidP="00B33C36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Shelley Williams, HRT/HIM Program Coordinator, Marty Pittman, MOA Program Coordinator, Ron Little, HI Program Coordinator, and Kathy Walters, HI Instructor met on 11/25/2014 and discussed the overlap between HIT 207 and HI 107. We identified two areas of overlap that make up approximately 20%. </w:t>
      </w:r>
    </w:p>
    <w:p w:rsidR="00B33C36" w:rsidRDefault="00B33C36" w:rsidP="00B33C36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53F2D" w:rsidRDefault="00B33C36" w:rsidP="00B33C36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0E60FC">
        <w:rPr>
          <w:rFonts w:ascii="Tahoma" w:hAnsi="Tahoma" w:cs="Tahoma"/>
          <w:sz w:val="24"/>
          <w:szCs w:val="24"/>
        </w:rPr>
        <w:t>first</w:t>
      </w:r>
      <w:r>
        <w:rPr>
          <w:rFonts w:ascii="Tahoma" w:hAnsi="Tahoma" w:cs="Tahoma"/>
          <w:sz w:val="24"/>
          <w:szCs w:val="24"/>
        </w:rPr>
        <w:t xml:space="preserve"> area of overlap </w:t>
      </w:r>
      <w:r w:rsidR="000E60FC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</w:t>
      </w:r>
      <w:r w:rsidRPr="000E60FC">
        <w:rPr>
          <w:rFonts w:ascii="Tahoma" w:hAnsi="Tahoma" w:cs="Tahoma"/>
          <w:i/>
          <w:sz w:val="24"/>
          <w:szCs w:val="24"/>
        </w:rPr>
        <w:t>HIPAA - privacy, security, and confidentiality</w:t>
      </w:r>
      <w:r>
        <w:rPr>
          <w:rFonts w:ascii="Tahoma" w:hAnsi="Tahoma" w:cs="Tahoma"/>
          <w:sz w:val="24"/>
          <w:szCs w:val="24"/>
        </w:rPr>
        <w:t xml:space="preserve">. We </w:t>
      </w:r>
      <w:r w:rsidR="00953F2D">
        <w:rPr>
          <w:rFonts w:ascii="Tahoma" w:hAnsi="Tahoma" w:cs="Tahoma"/>
          <w:sz w:val="24"/>
          <w:szCs w:val="24"/>
        </w:rPr>
        <w:t>were in agreement,</w:t>
      </w:r>
      <w:r>
        <w:rPr>
          <w:rFonts w:ascii="Tahoma" w:hAnsi="Tahoma" w:cs="Tahoma"/>
          <w:sz w:val="24"/>
          <w:szCs w:val="24"/>
        </w:rPr>
        <w:t xml:space="preserve"> that </w:t>
      </w:r>
      <w:r w:rsidR="00953F2D">
        <w:rPr>
          <w:rFonts w:ascii="Tahoma" w:hAnsi="Tahoma" w:cs="Tahoma"/>
          <w:sz w:val="24"/>
          <w:szCs w:val="24"/>
        </w:rPr>
        <w:t>because</w:t>
      </w:r>
      <w:r>
        <w:rPr>
          <w:rFonts w:ascii="Tahoma" w:hAnsi="Tahoma" w:cs="Tahoma"/>
          <w:sz w:val="24"/>
          <w:szCs w:val="24"/>
        </w:rPr>
        <w:t xml:space="preserve"> this </w:t>
      </w:r>
      <w:r w:rsidR="00953F2D">
        <w:rPr>
          <w:rFonts w:ascii="Tahoma" w:hAnsi="Tahoma" w:cs="Tahoma"/>
          <w:sz w:val="24"/>
          <w:szCs w:val="24"/>
        </w:rPr>
        <w:t>subject</w:t>
      </w:r>
      <w:r>
        <w:rPr>
          <w:rFonts w:ascii="Tahoma" w:hAnsi="Tahoma" w:cs="Tahoma"/>
          <w:sz w:val="24"/>
          <w:szCs w:val="24"/>
        </w:rPr>
        <w:t xml:space="preserve"> is a federal law, an Oregon Health Authority mandate for co-operative education placement, and healthcare related employer requirement, that it </w:t>
      </w:r>
      <w:r w:rsidR="000E60FC">
        <w:rPr>
          <w:rFonts w:ascii="Tahoma" w:hAnsi="Tahoma" w:cs="Tahoma"/>
          <w:sz w:val="24"/>
          <w:szCs w:val="24"/>
        </w:rPr>
        <w:t>bears</w:t>
      </w:r>
      <w:r>
        <w:rPr>
          <w:rFonts w:ascii="Tahoma" w:hAnsi="Tahoma" w:cs="Tahoma"/>
          <w:sz w:val="24"/>
          <w:szCs w:val="24"/>
        </w:rPr>
        <w:t xml:space="preserve"> </w:t>
      </w:r>
      <w:r w:rsidR="00953F2D">
        <w:rPr>
          <w:rFonts w:ascii="Tahoma" w:hAnsi="Tahoma" w:cs="Tahoma"/>
          <w:sz w:val="24"/>
          <w:szCs w:val="24"/>
        </w:rPr>
        <w:t>repeating in</w:t>
      </w:r>
      <w:r>
        <w:rPr>
          <w:rFonts w:ascii="Tahoma" w:hAnsi="Tahoma" w:cs="Tahoma"/>
          <w:sz w:val="24"/>
          <w:szCs w:val="24"/>
        </w:rPr>
        <w:t xml:space="preserve"> every EHR Course.  </w:t>
      </w:r>
      <w:r w:rsidR="000E60FC">
        <w:rPr>
          <w:rFonts w:ascii="Tahoma" w:hAnsi="Tahoma" w:cs="Tahoma"/>
          <w:sz w:val="24"/>
          <w:szCs w:val="24"/>
        </w:rPr>
        <w:t xml:space="preserve"> </w:t>
      </w:r>
    </w:p>
    <w:p w:rsidR="00953F2D" w:rsidRDefault="00953F2D" w:rsidP="00B33C36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E60FC" w:rsidRPr="000E60FC" w:rsidRDefault="000E60FC" w:rsidP="00B33C36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second area of overlap is the </w:t>
      </w:r>
      <w:r>
        <w:rPr>
          <w:rFonts w:ascii="Tahoma" w:hAnsi="Tahoma" w:cs="Tahoma"/>
          <w:i/>
          <w:sz w:val="24"/>
          <w:szCs w:val="24"/>
        </w:rPr>
        <w:t>components of an EHR.</w:t>
      </w:r>
      <w:r w:rsidRPr="00953F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</w:t>
      </w:r>
      <w:r w:rsidR="00953F2D">
        <w:rPr>
          <w:rFonts w:ascii="Tahoma" w:hAnsi="Tahoma" w:cs="Tahoma"/>
          <w:sz w:val="24"/>
          <w:szCs w:val="24"/>
        </w:rPr>
        <w:t>e basics of this</w:t>
      </w:r>
      <w:r>
        <w:rPr>
          <w:rFonts w:ascii="Tahoma" w:hAnsi="Tahoma" w:cs="Tahoma"/>
          <w:sz w:val="24"/>
          <w:szCs w:val="24"/>
        </w:rPr>
        <w:t xml:space="preserve"> </w:t>
      </w:r>
      <w:r w:rsidR="00953F2D">
        <w:rPr>
          <w:rFonts w:ascii="Tahoma" w:hAnsi="Tahoma" w:cs="Tahoma"/>
          <w:sz w:val="24"/>
          <w:szCs w:val="24"/>
        </w:rPr>
        <w:t>subject i</w:t>
      </w:r>
      <w:r>
        <w:rPr>
          <w:rFonts w:ascii="Tahoma" w:hAnsi="Tahoma" w:cs="Tahoma"/>
          <w:sz w:val="24"/>
          <w:szCs w:val="24"/>
        </w:rPr>
        <w:t xml:space="preserve">s </w:t>
      </w:r>
      <w:r w:rsidR="00953F2D">
        <w:rPr>
          <w:rFonts w:ascii="Tahoma" w:hAnsi="Tahoma" w:cs="Tahoma"/>
          <w:sz w:val="24"/>
          <w:szCs w:val="24"/>
        </w:rPr>
        <w:t xml:space="preserve">the basis of every EHR </w:t>
      </w:r>
      <w:r>
        <w:rPr>
          <w:rFonts w:ascii="Tahoma" w:hAnsi="Tahoma" w:cs="Tahoma"/>
          <w:sz w:val="24"/>
          <w:szCs w:val="24"/>
        </w:rPr>
        <w:t xml:space="preserve">course, but the actual components </w:t>
      </w:r>
      <w:r w:rsidR="00953F2D">
        <w:rPr>
          <w:rFonts w:ascii="Tahoma" w:hAnsi="Tahoma" w:cs="Tahoma"/>
          <w:sz w:val="24"/>
          <w:szCs w:val="24"/>
        </w:rPr>
        <w:t xml:space="preserve">covered </w:t>
      </w:r>
      <w:r>
        <w:rPr>
          <w:rFonts w:ascii="Tahoma" w:hAnsi="Tahoma" w:cs="Tahoma"/>
          <w:sz w:val="24"/>
          <w:szCs w:val="24"/>
        </w:rPr>
        <w:t xml:space="preserve">and level of detail </w:t>
      </w:r>
      <w:r w:rsidR="00953F2D">
        <w:rPr>
          <w:rFonts w:ascii="Tahoma" w:hAnsi="Tahoma" w:cs="Tahoma"/>
          <w:sz w:val="24"/>
          <w:szCs w:val="24"/>
        </w:rPr>
        <w:t xml:space="preserve">included </w:t>
      </w:r>
      <w:r>
        <w:rPr>
          <w:rFonts w:ascii="Tahoma" w:hAnsi="Tahoma" w:cs="Tahoma"/>
          <w:sz w:val="24"/>
          <w:szCs w:val="24"/>
        </w:rPr>
        <w:t xml:space="preserve">can range from </w:t>
      </w:r>
      <w:r w:rsidR="00953F2D">
        <w:rPr>
          <w:rFonts w:ascii="Tahoma" w:hAnsi="Tahoma" w:cs="Tahoma"/>
          <w:sz w:val="24"/>
          <w:szCs w:val="24"/>
        </w:rPr>
        <w:t>introductory</w:t>
      </w:r>
      <w:r>
        <w:rPr>
          <w:rFonts w:ascii="Tahoma" w:hAnsi="Tahoma" w:cs="Tahoma"/>
          <w:sz w:val="24"/>
          <w:szCs w:val="24"/>
        </w:rPr>
        <w:t xml:space="preserve"> overview to detailed technical </w:t>
      </w:r>
      <w:r w:rsidR="00953F2D">
        <w:rPr>
          <w:rFonts w:ascii="Tahoma" w:hAnsi="Tahoma" w:cs="Tahoma"/>
          <w:sz w:val="24"/>
          <w:szCs w:val="24"/>
        </w:rPr>
        <w:t xml:space="preserve">tailoring and technical </w:t>
      </w:r>
      <w:r>
        <w:rPr>
          <w:rFonts w:ascii="Tahoma" w:hAnsi="Tahoma" w:cs="Tahoma"/>
          <w:sz w:val="24"/>
          <w:szCs w:val="24"/>
        </w:rPr>
        <w:t xml:space="preserve">support. </w:t>
      </w:r>
      <w:r w:rsidR="00953F2D">
        <w:rPr>
          <w:rFonts w:ascii="Tahoma" w:hAnsi="Tahoma" w:cs="Tahoma"/>
          <w:sz w:val="24"/>
          <w:szCs w:val="24"/>
        </w:rPr>
        <w:t xml:space="preserve">HIT 207 is written from the perspective of the </w:t>
      </w:r>
      <w:proofErr w:type="spellStart"/>
      <w:r w:rsidR="00953F2D">
        <w:rPr>
          <w:rFonts w:ascii="Tahoma" w:hAnsi="Tahoma" w:cs="Tahoma"/>
          <w:sz w:val="24"/>
          <w:szCs w:val="24"/>
        </w:rPr>
        <w:t>the</w:t>
      </w:r>
      <w:proofErr w:type="spellEnd"/>
      <w:r w:rsidR="00953F2D">
        <w:rPr>
          <w:rFonts w:ascii="Tahoma" w:hAnsi="Tahoma" w:cs="Tahoma"/>
          <w:sz w:val="24"/>
          <w:szCs w:val="24"/>
        </w:rPr>
        <w:t xml:space="preserve"> front-end users and their workflow processes (use) of the EHR, rather than covering the technical set up and user preference support that is covered in the HI courses.</w:t>
      </w:r>
    </w:p>
    <w:p w:rsidR="00B33C36" w:rsidRPr="000E60FC" w:rsidRDefault="00B33C36" w:rsidP="00B33C36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:rsidR="00B33C36" w:rsidRDefault="00B33C36" w:rsidP="00B33C36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11E93" w:rsidRDefault="000E60FC">
      <w:r>
        <w:rPr>
          <w:rFonts w:ascii="Tahoma" w:hAnsi="Tahoma" w:cs="Tahoma"/>
          <w:i/>
          <w:noProof/>
          <w:sz w:val="24"/>
          <w:szCs w:val="24"/>
        </w:rPr>
        <w:drawing>
          <wp:inline distT="0" distB="0" distL="0" distR="0" wp14:anchorId="0D0C66F5" wp14:editId="2FD68F7C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A11E93" w:rsidSect="000E60F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36"/>
    <w:rsid w:val="000C48CD"/>
    <w:rsid w:val="000E60FC"/>
    <w:rsid w:val="00953F2D"/>
    <w:rsid w:val="00A11E93"/>
    <w:rsid w:val="00B3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3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3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518CD4-CD35-4216-8562-7DE5947BB5CA}" type="doc">
      <dgm:prSet loTypeId="urn:microsoft.com/office/officeart/2005/8/layout/rings+Icon" loCatId="relationship" qsTypeId="urn:microsoft.com/office/officeart/2005/8/quickstyle/simple1" qsCatId="simple" csTypeId="urn:microsoft.com/office/officeart/2005/8/colors/accent1_2" csCatId="accent1" phldr="1"/>
      <dgm:spPr/>
    </dgm:pt>
    <dgm:pt modelId="{907AA847-460D-4985-A1E5-D44CCE2E1F2C}">
      <dgm:prSet phldrT="[Text]"/>
      <dgm:spPr/>
      <dgm:t>
        <a:bodyPr/>
        <a:lstStyle/>
        <a:p>
          <a:r>
            <a:rPr lang="en-US"/>
            <a:t>Clinical &amp; Administrative staff</a:t>
          </a:r>
        </a:p>
      </dgm:t>
    </dgm:pt>
    <dgm:pt modelId="{808A1696-0494-4051-9CBD-2C39C5335ACB}" type="parTrans" cxnId="{518ACF9F-0D48-4197-83CC-F6EC9D59D4E2}">
      <dgm:prSet/>
      <dgm:spPr/>
      <dgm:t>
        <a:bodyPr/>
        <a:lstStyle/>
        <a:p>
          <a:endParaRPr lang="en-US"/>
        </a:p>
      </dgm:t>
    </dgm:pt>
    <dgm:pt modelId="{27FEB6EB-1120-43BE-8695-5C34F5A92173}" type="sibTrans" cxnId="{518ACF9F-0D48-4197-83CC-F6EC9D59D4E2}">
      <dgm:prSet/>
      <dgm:spPr/>
      <dgm:t>
        <a:bodyPr/>
        <a:lstStyle/>
        <a:p>
          <a:endParaRPr lang="en-US"/>
        </a:p>
      </dgm:t>
    </dgm:pt>
    <dgm:pt modelId="{D77E8162-67CF-4377-95B0-D52B22BCF4E3}">
      <dgm:prSet phldrT="[Text]"/>
      <dgm:spPr/>
      <dgm:t>
        <a:bodyPr/>
        <a:lstStyle/>
        <a:p>
          <a:r>
            <a:rPr lang="en-US"/>
            <a:t>1. HIPAA / Privacy &amp; Security</a:t>
          </a:r>
        </a:p>
        <a:p>
          <a:r>
            <a:rPr lang="en-US"/>
            <a:t>2. Components of an EHR</a:t>
          </a:r>
        </a:p>
      </dgm:t>
    </dgm:pt>
    <dgm:pt modelId="{1C932C7A-2389-4B24-BF95-6DCCC92E27EC}" type="parTrans" cxnId="{E3422EBB-2ABC-4604-BD71-D3A1100BC478}">
      <dgm:prSet/>
      <dgm:spPr/>
      <dgm:t>
        <a:bodyPr/>
        <a:lstStyle/>
        <a:p>
          <a:endParaRPr lang="en-US"/>
        </a:p>
      </dgm:t>
    </dgm:pt>
    <dgm:pt modelId="{9702D3D5-8B84-4931-9F22-C77C30FE32FB}" type="sibTrans" cxnId="{E3422EBB-2ABC-4604-BD71-D3A1100BC478}">
      <dgm:prSet/>
      <dgm:spPr/>
      <dgm:t>
        <a:bodyPr/>
        <a:lstStyle/>
        <a:p>
          <a:endParaRPr lang="en-US"/>
        </a:p>
      </dgm:t>
    </dgm:pt>
    <dgm:pt modelId="{4FD84A24-D196-4666-881E-4F5E81C5EF86}">
      <dgm:prSet phldrT="[Text]"/>
      <dgm:spPr/>
      <dgm:t>
        <a:bodyPr/>
        <a:lstStyle/>
        <a:p>
          <a:r>
            <a:rPr lang="en-US"/>
            <a:t>Technical/HI Support staff</a:t>
          </a:r>
        </a:p>
      </dgm:t>
    </dgm:pt>
    <dgm:pt modelId="{3C8B5C8F-CECE-4425-9F91-173777270BB3}" type="parTrans" cxnId="{606F8243-B33D-414D-B421-2E987605FDDC}">
      <dgm:prSet/>
      <dgm:spPr/>
      <dgm:t>
        <a:bodyPr/>
        <a:lstStyle/>
        <a:p>
          <a:endParaRPr lang="en-US"/>
        </a:p>
      </dgm:t>
    </dgm:pt>
    <dgm:pt modelId="{6FB726C5-D8C8-4AFF-A5BF-7AE02AD93711}" type="sibTrans" cxnId="{606F8243-B33D-414D-B421-2E987605FDDC}">
      <dgm:prSet/>
      <dgm:spPr/>
      <dgm:t>
        <a:bodyPr/>
        <a:lstStyle/>
        <a:p>
          <a:endParaRPr lang="en-US"/>
        </a:p>
      </dgm:t>
    </dgm:pt>
    <dgm:pt modelId="{8B5BE665-39FA-40DD-8B35-B34BBEE5462C}" type="pres">
      <dgm:prSet presAssocID="{0C518CD4-CD35-4216-8562-7DE5947BB5CA}" presName="Name0" presStyleCnt="0">
        <dgm:presLayoutVars>
          <dgm:chMax val="7"/>
          <dgm:dir/>
          <dgm:resizeHandles val="exact"/>
        </dgm:presLayoutVars>
      </dgm:prSet>
      <dgm:spPr/>
    </dgm:pt>
    <dgm:pt modelId="{B0742215-A45F-4585-A1C8-6AEBB5D88818}" type="pres">
      <dgm:prSet presAssocID="{0C518CD4-CD35-4216-8562-7DE5947BB5CA}" presName="ellipse1" presStyleLbl="venn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DD3FA-CC1F-4FD5-BA2C-A6B4244B47A7}" type="pres">
      <dgm:prSet presAssocID="{0C518CD4-CD35-4216-8562-7DE5947BB5CA}" presName="ellipse2" presStyleLbl="venn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E9FBC5-647D-49FE-BC85-56B3AACA730D}" type="pres">
      <dgm:prSet presAssocID="{0C518CD4-CD35-4216-8562-7DE5947BB5CA}" presName="ellipse3" presStyleLbl="venn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18ACF9F-0D48-4197-83CC-F6EC9D59D4E2}" srcId="{0C518CD4-CD35-4216-8562-7DE5947BB5CA}" destId="{907AA847-460D-4985-A1E5-D44CCE2E1F2C}" srcOrd="0" destOrd="0" parTransId="{808A1696-0494-4051-9CBD-2C39C5335ACB}" sibTransId="{27FEB6EB-1120-43BE-8695-5C34F5A92173}"/>
    <dgm:cxn modelId="{0DC17EA2-A824-48DF-A55B-C9112E78DEA8}" type="presOf" srcId="{907AA847-460D-4985-A1E5-D44CCE2E1F2C}" destId="{B0742215-A45F-4585-A1C8-6AEBB5D88818}" srcOrd="0" destOrd="0" presId="urn:microsoft.com/office/officeart/2005/8/layout/rings+Icon"/>
    <dgm:cxn modelId="{E3422EBB-2ABC-4604-BD71-D3A1100BC478}" srcId="{0C518CD4-CD35-4216-8562-7DE5947BB5CA}" destId="{D77E8162-67CF-4377-95B0-D52B22BCF4E3}" srcOrd="1" destOrd="0" parTransId="{1C932C7A-2389-4B24-BF95-6DCCC92E27EC}" sibTransId="{9702D3D5-8B84-4931-9F22-C77C30FE32FB}"/>
    <dgm:cxn modelId="{606F8243-B33D-414D-B421-2E987605FDDC}" srcId="{0C518CD4-CD35-4216-8562-7DE5947BB5CA}" destId="{4FD84A24-D196-4666-881E-4F5E81C5EF86}" srcOrd="2" destOrd="0" parTransId="{3C8B5C8F-CECE-4425-9F91-173777270BB3}" sibTransId="{6FB726C5-D8C8-4AFF-A5BF-7AE02AD93711}"/>
    <dgm:cxn modelId="{203CD4DC-E35E-4115-A1E8-00B56A62CC28}" type="presOf" srcId="{D77E8162-67CF-4377-95B0-D52B22BCF4E3}" destId="{E73DD3FA-CC1F-4FD5-BA2C-A6B4244B47A7}" srcOrd="0" destOrd="0" presId="urn:microsoft.com/office/officeart/2005/8/layout/rings+Icon"/>
    <dgm:cxn modelId="{A852B072-7DB4-446E-B2D4-98E2F42E8C6D}" type="presOf" srcId="{4FD84A24-D196-4666-881E-4F5E81C5EF86}" destId="{54E9FBC5-647D-49FE-BC85-56B3AACA730D}" srcOrd="0" destOrd="0" presId="urn:microsoft.com/office/officeart/2005/8/layout/rings+Icon"/>
    <dgm:cxn modelId="{4504EB71-EA9E-47D0-B0DD-4910EC60927D}" type="presOf" srcId="{0C518CD4-CD35-4216-8562-7DE5947BB5CA}" destId="{8B5BE665-39FA-40DD-8B35-B34BBEE5462C}" srcOrd="0" destOrd="0" presId="urn:microsoft.com/office/officeart/2005/8/layout/rings+Icon"/>
    <dgm:cxn modelId="{A85399A4-6BD5-4966-8094-E698E4989389}" type="presParOf" srcId="{8B5BE665-39FA-40DD-8B35-B34BBEE5462C}" destId="{B0742215-A45F-4585-A1C8-6AEBB5D88818}" srcOrd="0" destOrd="0" presId="urn:microsoft.com/office/officeart/2005/8/layout/rings+Icon"/>
    <dgm:cxn modelId="{BD4CB7B8-7B99-4576-A45E-3800BBA7A1D4}" type="presParOf" srcId="{8B5BE665-39FA-40DD-8B35-B34BBEE5462C}" destId="{E73DD3FA-CC1F-4FD5-BA2C-A6B4244B47A7}" srcOrd="1" destOrd="0" presId="urn:microsoft.com/office/officeart/2005/8/layout/rings+Icon"/>
    <dgm:cxn modelId="{32117ECE-4A0E-4C61-ABB7-56D12338205F}" type="presParOf" srcId="{8B5BE665-39FA-40DD-8B35-B34BBEE5462C}" destId="{54E9FBC5-647D-49FE-BC85-56B3AACA730D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742215-A45F-4585-A1C8-6AEBB5D88818}">
      <dsp:nvSpPr>
        <dsp:cNvPr id="0" name=""/>
        <dsp:cNvSpPr/>
      </dsp:nvSpPr>
      <dsp:spPr>
        <a:xfrm>
          <a:off x="795596" y="0"/>
          <a:ext cx="1919947" cy="191991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Clinical &amp; Administrative staff</a:t>
          </a:r>
        </a:p>
      </dsp:txBody>
      <dsp:txXfrm>
        <a:off x="1076766" y="281166"/>
        <a:ext cx="1357607" cy="1357587"/>
      </dsp:txXfrm>
    </dsp:sp>
    <dsp:sp modelId="{E73DD3FA-CC1F-4FD5-BA2C-A6B4244B47A7}">
      <dsp:nvSpPr>
        <dsp:cNvPr id="0" name=""/>
        <dsp:cNvSpPr/>
      </dsp:nvSpPr>
      <dsp:spPr>
        <a:xfrm>
          <a:off x="1783810" y="1280480"/>
          <a:ext cx="1919947" cy="191991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1. HIPAA / Privacy &amp; Security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2. Components of an EHR</a:t>
          </a:r>
        </a:p>
      </dsp:txBody>
      <dsp:txXfrm>
        <a:off x="2064980" y="1561646"/>
        <a:ext cx="1357607" cy="1357587"/>
      </dsp:txXfrm>
    </dsp:sp>
    <dsp:sp modelId="{54E9FBC5-647D-49FE-BC85-56B3AACA730D}">
      <dsp:nvSpPr>
        <dsp:cNvPr id="0" name=""/>
        <dsp:cNvSpPr/>
      </dsp:nvSpPr>
      <dsp:spPr>
        <a:xfrm>
          <a:off x="2770855" y="0"/>
          <a:ext cx="1919947" cy="191991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Technical/HI Support staff</a:t>
          </a:r>
        </a:p>
      </dsp:txBody>
      <dsp:txXfrm>
        <a:off x="3052025" y="281166"/>
        <a:ext cx="1357607" cy="1357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williamssk</dc:creator>
  <cp:lastModifiedBy>williamssk</cp:lastModifiedBy>
  <cp:revision>2</cp:revision>
  <dcterms:created xsi:type="dcterms:W3CDTF">2014-11-25T21:59:00Z</dcterms:created>
  <dcterms:modified xsi:type="dcterms:W3CDTF">2014-11-25T21:59:00Z</dcterms:modified>
</cp:coreProperties>
</file>