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36"/>
        <w:gridCol w:w="2636"/>
        <w:gridCol w:w="2636"/>
        <w:gridCol w:w="2633"/>
        <w:gridCol w:w="2635"/>
      </w:tblGrid>
      <w:tr w:rsidR="00E36A4F" w:rsidRPr="001957F5">
        <w:trPr>
          <w:trHeight w:val="802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3399"/>
          </w:tcPr>
          <w:p w:rsidR="00E36A4F" w:rsidRPr="001957F5" w:rsidRDefault="00E36A4F" w:rsidP="000D6E9B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19"/>
              </w:rPr>
            </w:pPr>
            <w:r w:rsidRPr="001957F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19"/>
              </w:rPr>
              <w:t>CLOs with descriptions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3399"/>
          </w:tcPr>
          <w:p w:rsidR="00E36A4F" w:rsidRPr="001957F5" w:rsidRDefault="00E36A4F" w:rsidP="000D6E9B">
            <w:pPr>
              <w:pStyle w:val="Default"/>
              <w:jc w:val="center"/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</w:pPr>
            <w:r w:rsidRPr="001957F5"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  <w:t>Accomplished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333399"/>
          </w:tcPr>
          <w:p w:rsidR="00E36A4F" w:rsidRPr="001957F5" w:rsidRDefault="00E36A4F" w:rsidP="000D6E9B">
            <w:pPr>
              <w:pStyle w:val="Default"/>
              <w:jc w:val="center"/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</w:pPr>
            <w:r w:rsidRPr="001957F5"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  <w:t>Proficient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333399"/>
          </w:tcPr>
          <w:p w:rsidR="00E36A4F" w:rsidRPr="001957F5" w:rsidRDefault="00E36A4F" w:rsidP="000D6E9B">
            <w:pPr>
              <w:pStyle w:val="Default"/>
              <w:jc w:val="center"/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</w:pPr>
            <w:r w:rsidRPr="001957F5"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  <w:t>Developing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3399"/>
          </w:tcPr>
          <w:p w:rsidR="00E36A4F" w:rsidRPr="001957F5" w:rsidRDefault="00E36A4F" w:rsidP="000D6E9B">
            <w:pPr>
              <w:pStyle w:val="Default"/>
              <w:jc w:val="center"/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</w:pPr>
            <w:r w:rsidRPr="001957F5">
              <w:rPr>
                <w:rFonts w:asciiTheme="majorHAnsi" w:hAnsiTheme="majorHAnsi"/>
                <w:color w:val="FFFFFF" w:themeColor="background1"/>
                <w:sz w:val="28"/>
                <w:szCs w:val="19"/>
              </w:rPr>
              <w:t>Beginning</w:t>
            </w:r>
          </w:p>
        </w:tc>
      </w:tr>
      <w:tr w:rsidR="00E36A4F">
        <w:trPr>
          <w:trHeight w:val="802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spacing w:before="2" w:after="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Measurement </w:t>
            </w:r>
          </w:p>
          <w:p w:rsidR="00E36A4F" w:rsidRDefault="00E36A4F" w:rsidP="000D6E9B">
            <w:pPr>
              <w:pStyle w:val="Default"/>
              <w:spacing w:before="2" w:after="2"/>
              <w:rPr>
                <w:b/>
                <w:bCs/>
                <w:sz w:val="19"/>
                <w:szCs w:val="19"/>
              </w:rPr>
            </w:pPr>
          </w:p>
          <w:p w:rsidR="00E36A4F" w:rsidRPr="001957F5" w:rsidRDefault="00E36A4F" w:rsidP="000D6E9B">
            <w:pPr>
              <w:pStyle w:val="Default"/>
              <w:spacing w:before="2" w:after="2"/>
              <w:rPr>
                <w:i/>
                <w:sz w:val="19"/>
                <w:szCs w:val="19"/>
              </w:rPr>
            </w:pPr>
            <w:r w:rsidRPr="001957F5">
              <w:rPr>
                <w:b/>
                <w:bCs/>
                <w:i/>
                <w:sz w:val="19"/>
                <w:szCs w:val="19"/>
              </w:rPr>
              <w:t>LCC’s</w:t>
            </w:r>
            <w:r>
              <w:rPr>
                <w:b/>
                <w:bCs/>
                <w:i/>
                <w:sz w:val="19"/>
                <w:szCs w:val="19"/>
              </w:rPr>
              <w:t xml:space="preserve"> “think critically” CLO:  identify and define key issues; find and cite relevant information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spacing w:before="2" w:after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Measurements attempted are essentially all successful and sufficiently comprehensive to solve the problem. Calculations are </w:t>
            </w:r>
            <w:r w:rsidR="000D6E9B">
              <w:rPr>
                <w:sz w:val="19"/>
                <w:szCs w:val="19"/>
              </w:rPr>
              <w:t xml:space="preserve">recorded well </w:t>
            </w:r>
            <w:r>
              <w:rPr>
                <w:sz w:val="19"/>
                <w:szCs w:val="19"/>
              </w:rPr>
              <w:t xml:space="preserve">(clearly, concisely, etc.)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6A4F" w:rsidRDefault="00E36A4F" w:rsidP="000D6E9B">
            <w:pPr>
              <w:pStyle w:val="Default"/>
              <w:spacing w:before="2" w:after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Measurements attempted are essentially all successful and sufficiently comprehensive to solve the problem. </w:t>
            </w:r>
            <w:r w:rsidR="000D6E9B">
              <w:rPr>
                <w:sz w:val="19"/>
                <w:szCs w:val="19"/>
              </w:rPr>
              <w:t xml:space="preserve">  Calculations are recorded.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spacing w:before="2" w:after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Measurements attempted are either unsuccessful or represent only a portion of the calculations required to comprehensively solve the problem.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spacing w:before="2" w:after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Measurements are attempted but are both unsuccessful and are not comprehensive and/or recorded inaccurately</w:t>
            </w:r>
          </w:p>
        </w:tc>
      </w:tr>
      <w:tr w:rsidR="00E36A4F">
        <w:trPr>
          <w:trHeight w:val="802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FF65EE" w:rsidP="000D6E9B">
            <w:pPr>
              <w:pStyle w:val="Default"/>
              <w:rPr>
                <w:i/>
                <w:i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Application </w:t>
            </w:r>
            <w:r w:rsidR="00E36A4F">
              <w:rPr>
                <w:i/>
                <w:iCs/>
                <w:sz w:val="19"/>
                <w:szCs w:val="19"/>
              </w:rPr>
              <w:t>Ability to make judgments and draw appropriate conclusions based on the</w:t>
            </w:r>
            <w:r w:rsidR="000D6E9B">
              <w:rPr>
                <w:i/>
                <w:iCs/>
                <w:sz w:val="19"/>
                <w:szCs w:val="19"/>
              </w:rPr>
              <w:t xml:space="preserve"> quantitative analysis of data (illustrate/prove the theorem:  force to compress is proportional to the distance—it's linear)</w:t>
            </w:r>
          </w:p>
          <w:p w:rsidR="00E36A4F" w:rsidRDefault="00E36A4F" w:rsidP="000D6E9B">
            <w:pPr>
              <w:pStyle w:val="Default"/>
              <w:rPr>
                <w:i/>
                <w:iCs/>
                <w:sz w:val="19"/>
                <w:szCs w:val="19"/>
              </w:rPr>
            </w:pPr>
          </w:p>
          <w:p w:rsidR="00E36A4F" w:rsidRPr="00187079" w:rsidRDefault="00E36A4F" w:rsidP="000D6E9B">
            <w:pPr>
              <w:pStyle w:val="Default"/>
              <w:rPr>
                <w:b/>
                <w:sz w:val="19"/>
                <w:szCs w:val="19"/>
              </w:rPr>
            </w:pPr>
            <w:r w:rsidRPr="00187079">
              <w:rPr>
                <w:b/>
                <w:i/>
                <w:iCs/>
                <w:sz w:val="19"/>
                <w:szCs w:val="19"/>
              </w:rPr>
              <w:t>LCC’s “think critically” and “apply learning” CLOs</w:t>
            </w:r>
            <w:r w:rsidR="00FF44DB">
              <w:rPr>
                <w:b/>
                <w:i/>
                <w:iCs/>
                <w:sz w:val="19"/>
                <w:szCs w:val="19"/>
              </w:rPr>
              <w:t>:  apply skills, abilities, theories or methodologies to solve problems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 the analysis of data as the basis for deep and thoughtful judgments, drawing insightful, carefully qualified conclusions from using Hooke’s law</w:t>
            </w:r>
            <w:r w:rsidR="000D6E9B">
              <w:rPr>
                <w:sz w:val="19"/>
                <w:szCs w:val="19"/>
              </w:rPr>
              <w:t xml:space="preserve"> (can elegantly explain how deformation is a function of force + distance)</w:t>
            </w:r>
          </w:p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 the quantitative analysis of data as the basis for competent judgments, drawing reasonable and appropriately qualified con</w:t>
            </w:r>
            <w:r w:rsidR="000D6E9B">
              <w:rPr>
                <w:sz w:val="19"/>
                <w:szCs w:val="19"/>
              </w:rPr>
              <w:t>clusions from using Hooke’s law (is able to explain how deformation is a function of force + distance)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 the quantitative analysis of data as the basis for workmanlike (without inspiration or nuance, ordinary) judgments, drawing plausible con</w:t>
            </w:r>
            <w:r w:rsidR="000D6E9B">
              <w:rPr>
                <w:sz w:val="19"/>
                <w:szCs w:val="19"/>
              </w:rPr>
              <w:t>clusions from using Hooke’s law (can mostly explain how deformation is a function of force + distance)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Uses the quantitative analysis of data as the basis for tentative, basic judgments, although is hesitant or uncertain about drawing conclusions from using Hooke’s law. </w:t>
            </w:r>
            <w:r w:rsidR="000D6E9B">
              <w:rPr>
                <w:sz w:val="19"/>
                <w:szCs w:val="19"/>
              </w:rPr>
              <w:t xml:space="preserve">  (Unable to explain how deformation is a function of force + distance)</w:t>
            </w:r>
          </w:p>
        </w:tc>
      </w:tr>
      <w:tr w:rsidR="00E36A4F">
        <w:trPr>
          <w:trHeight w:val="802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Pr="00187079" w:rsidRDefault="00E36A4F" w:rsidP="000D6E9B">
            <w:pPr>
              <w:pStyle w:val="Default"/>
              <w:rPr>
                <w:b/>
                <w:iCs/>
                <w:sz w:val="19"/>
                <w:szCs w:val="19"/>
              </w:rPr>
            </w:pPr>
            <w:r w:rsidRPr="00187079">
              <w:rPr>
                <w:b/>
                <w:iCs/>
                <w:sz w:val="19"/>
                <w:szCs w:val="19"/>
              </w:rPr>
              <w:t>Translate</w:t>
            </w:r>
            <w:r w:rsidR="000D6E9B">
              <w:rPr>
                <w:b/>
                <w:iCs/>
                <w:sz w:val="19"/>
                <w:szCs w:val="19"/>
              </w:rPr>
              <w:t xml:space="preserve"> into Visuals</w:t>
            </w:r>
          </w:p>
          <w:p w:rsidR="00E36A4F" w:rsidRDefault="00E36A4F" w:rsidP="000D6E9B">
            <w:pPr>
              <w:pStyle w:val="Default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Ability to convert relevant information </w:t>
            </w:r>
            <w:r w:rsidR="000D6E9B">
              <w:rPr>
                <w:i/>
                <w:iCs/>
                <w:sz w:val="19"/>
                <w:szCs w:val="19"/>
              </w:rPr>
              <w:t>into a mathematical form:  create</w:t>
            </w:r>
            <w:r>
              <w:rPr>
                <w:i/>
                <w:iCs/>
                <w:sz w:val="19"/>
                <w:szCs w:val="19"/>
              </w:rPr>
              <w:t xml:space="preserve"> a graph</w:t>
            </w:r>
            <w:r w:rsidR="000D6E9B">
              <w:rPr>
                <w:i/>
                <w:iCs/>
                <w:sz w:val="19"/>
                <w:szCs w:val="19"/>
              </w:rPr>
              <w:t>/visual</w:t>
            </w:r>
            <w:r>
              <w:rPr>
                <w:i/>
                <w:iCs/>
                <w:sz w:val="19"/>
                <w:szCs w:val="19"/>
              </w:rPr>
              <w:t xml:space="preserve"> to represent results of measurements</w:t>
            </w:r>
          </w:p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 w:rsidRPr="00375805">
              <w:rPr>
                <w:b/>
                <w:sz w:val="19"/>
                <w:szCs w:val="19"/>
              </w:rPr>
              <w:t>“Communicate Effectively” CLO:</w:t>
            </w:r>
            <w:r>
              <w:rPr>
                <w:sz w:val="19"/>
                <w:szCs w:val="19"/>
              </w:rPr>
              <w:t xml:space="preserve"> </w:t>
            </w:r>
            <w:r w:rsidRPr="00187079">
              <w:rPr>
                <w:b/>
                <w:i/>
                <w:sz w:val="18"/>
              </w:rPr>
              <w:t>Create and express</w:t>
            </w:r>
            <w:r w:rsidRPr="00187079">
              <w:rPr>
                <w:i/>
                <w:sz w:val="18"/>
              </w:rPr>
              <w:t xml:space="preserve"> </w:t>
            </w:r>
            <w:r w:rsidRPr="00FF44DB">
              <w:rPr>
                <w:b/>
                <w:i/>
                <w:sz w:val="18"/>
              </w:rPr>
              <w:t>messages with clear language and nonverbal forms appropriate to the audience and cultural context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Skillfully converts relevant information into an insightful mathematical portrayal in a way that contributes to a further or deeper understanding. Graph is elegant and accurate</w:t>
            </w:r>
            <w:r w:rsidR="000D6E9B">
              <w:rPr>
                <w:sz w:val="19"/>
                <w:szCs w:val="19"/>
              </w:rPr>
              <w:t>.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Competently converts relevant information into an appropriate and desired mathematical portrayal. Graph is correct</w:t>
            </w:r>
            <w:r w:rsidR="000D6E9B">
              <w:rPr>
                <w:sz w:val="19"/>
                <w:szCs w:val="19"/>
              </w:rPr>
              <w:t>.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Completes conversion of information but resulting mathematical portrayal (graph) is only partially appropriate or accurate.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Default="00E36A4F" w:rsidP="000D6E9B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Completes conversion of information but resulting mathematical portrayal (graph) is inappropriate or inaccurate. </w:t>
            </w:r>
          </w:p>
        </w:tc>
      </w:tr>
      <w:tr w:rsidR="00E36A4F">
        <w:trPr>
          <w:trHeight w:val="802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Pr="000D6E9B" w:rsidRDefault="00E36A4F" w:rsidP="000D6E9B">
            <w:pPr>
              <w:pStyle w:val="Default"/>
              <w:rPr>
                <w:bCs/>
                <w:sz w:val="19"/>
                <w:szCs w:val="19"/>
              </w:rPr>
            </w:pPr>
            <w:bookmarkStart w:id="0" w:name="_GoBack"/>
            <w:r w:rsidRPr="00FF65EE">
              <w:rPr>
                <w:b/>
                <w:bCs/>
                <w:sz w:val="19"/>
                <w:szCs w:val="19"/>
              </w:rPr>
              <w:t xml:space="preserve"> </w:t>
            </w:r>
            <w:r w:rsidR="00FF65EE" w:rsidRPr="00FF65EE">
              <w:rPr>
                <w:b/>
                <w:bCs/>
                <w:sz w:val="19"/>
                <w:szCs w:val="19"/>
              </w:rPr>
              <w:t>Analyze and</w:t>
            </w:r>
            <w:r w:rsidR="00FF65EE">
              <w:rPr>
                <w:bCs/>
                <w:sz w:val="19"/>
                <w:szCs w:val="19"/>
              </w:rPr>
              <w:t xml:space="preserve"> </w:t>
            </w:r>
            <w:bookmarkEnd w:id="0"/>
            <w:r w:rsidR="000D6E9B" w:rsidRPr="000D6E9B">
              <w:rPr>
                <w:b/>
                <w:bCs/>
                <w:sz w:val="19"/>
                <w:szCs w:val="19"/>
              </w:rPr>
              <w:t>Explain</w:t>
            </w:r>
            <w:r w:rsidR="000D6E9B">
              <w:rPr>
                <w:bCs/>
                <w:sz w:val="19"/>
                <w:szCs w:val="19"/>
              </w:rPr>
              <w:t xml:space="preserve">:  </w:t>
            </w:r>
            <w:r w:rsidRPr="000D6E9B">
              <w:rPr>
                <w:bCs/>
                <w:sz w:val="19"/>
                <w:szCs w:val="19"/>
              </w:rPr>
              <w:t xml:space="preserve">Use </w:t>
            </w:r>
            <w:r w:rsidR="000D6E9B" w:rsidRPr="000D6E9B">
              <w:rPr>
                <w:bCs/>
                <w:sz w:val="19"/>
                <w:szCs w:val="19"/>
              </w:rPr>
              <w:t>metallurgical</w:t>
            </w:r>
            <w:r w:rsidRPr="000D6E9B">
              <w:rPr>
                <w:bCs/>
                <w:sz w:val="19"/>
                <w:szCs w:val="19"/>
              </w:rPr>
              <w:t xml:space="preserve"> forms and language to hypothesize</w:t>
            </w:r>
            <w:r w:rsidR="000D6E9B" w:rsidRPr="000D6E9B">
              <w:rPr>
                <w:bCs/>
                <w:sz w:val="19"/>
                <w:szCs w:val="19"/>
              </w:rPr>
              <w:t xml:space="preserve"> the effects of stress and distance on a given material.</w:t>
            </w:r>
          </w:p>
          <w:p w:rsidR="00E36A4F" w:rsidRDefault="00E36A4F" w:rsidP="000D6E9B">
            <w:pPr>
              <w:pStyle w:val="Default"/>
              <w:rPr>
                <w:i/>
                <w:iCs/>
                <w:sz w:val="19"/>
                <w:szCs w:val="19"/>
              </w:rPr>
            </w:pPr>
          </w:p>
          <w:p w:rsidR="00E36A4F" w:rsidRPr="001957F5" w:rsidRDefault="00E36A4F" w:rsidP="000D6E9B">
            <w:pPr>
              <w:pStyle w:val="Default"/>
              <w:rPr>
                <w:b/>
                <w:sz w:val="19"/>
                <w:szCs w:val="19"/>
              </w:rPr>
            </w:pPr>
            <w:r>
              <w:rPr>
                <w:b/>
                <w:i/>
                <w:iCs/>
                <w:sz w:val="19"/>
                <w:szCs w:val="19"/>
              </w:rPr>
              <w:t>LCC’s “apply”</w:t>
            </w:r>
            <w:r w:rsidRPr="001957F5">
              <w:rPr>
                <w:b/>
                <w:i/>
                <w:iCs/>
                <w:sz w:val="19"/>
                <w:szCs w:val="19"/>
              </w:rPr>
              <w:t xml:space="preserve"> </w:t>
            </w:r>
            <w:r>
              <w:rPr>
                <w:b/>
                <w:i/>
                <w:iCs/>
                <w:sz w:val="19"/>
                <w:szCs w:val="19"/>
              </w:rPr>
              <w:t>&amp; “Communicate Effectively</w:t>
            </w:r>
            <w:r w:rsidR="00FF44DB">
              <w:rPr>
                <w:b/>
                <w:i/>
                <w:iCs/>
                <w:sz w:val="19"/>
                <w:szCs w:val="19"/>
              </w:rPr>
              <w:t>”</w:t>
            </w:r>
            <w:r>
              <w:rPr>
                <w:b/>
                <w:i/>
                <w:iCs/>
                <w:sz w:val="19"/>
                <w:szCs w:val="19"/>
              </w:rPr>
              <w:t xml:space="preserve"> </w:t>
            </w:r>
            <w:r w:rsidRPr="001957F5">
              <w:rPr>
                <w:b/>
                <w:i/>
                <w:iCs/>
                <w:sz w:val="19"/>
                <w:szCs w:val="19"/>
              </w:rPr>
              <w:t>CLO</w:t>
            </w:r>
            <w:r>
              <w:rPr>
                <w:b/>
                <w:i/>
                <w:iCs/>
                <w:sz w:val="19"/>
                <w:szCs w:val="19"/>
              </w:rPr>
              <w:t>s</w:t>
            </w:r>
            <w:r w:rsidR="00FF44DB">
              <w:rPr>
                <w:b/>
                <w:i/>
                <w:iCs/>
                <w:sz w:val="19"/>
                <w:szCs w:val="19"/>
              </w:rPr>
              <w:t xml:space="preserve">:  use mathematical and quantitative reasoning to solve </w:t>
            </w:r>
            <w:r w:rsidR="00FF44DB">
              <w:rPr>
                <w:b/>
                <w:i/>
                <w:iCs/>
                <w:sz w:val="19"/>
                <w:szCs w:val="19"/>
              </w:rPr>
              <w:lastRenderedPageBreak/>
              <w:t>problems; create and express messages in language appropriate to the task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Pr="000D6E9B" w:rsidRDefault="000D6E9B" w:rsidP="000D6E9B">
            <w:pPr>
              <w:pStyle w:val="Default"/>
              <w:rPr>
                <w:sz w:val="19"/>
                <w:szCs w:val="19"/>
              </w:rPr>
            </w:pPr>
            <w:r w:rsidRPr="000D6E9B">
              <w:rPr>
                <w:iCs/>
                <w:sz w:val="19"/>
                <w:szCs w:val="19"/>
              </w:rPr>
              <w:lastRenderedPageBreak/>
              <w:t xml:space="preserve">Accurately and elegantly </w:t>
            </w:r>
            <w:r w:rsidR="00E36A4F" w:rsidRPr="000D6E9B">
              <w:rPr>
                <w:iCs/>
                <w:sz w:val="19"/>
                <w:szCs w:val="19"/>
              </w:rPr>
              <w:t>explains the data shown in a graph and makes reasonable predictions regarding what the data suggest about futu</w:t>
            </w:r>
            <w:r w:rsidRPr="000D6E9B">
              <w:rPr>
                <w:iCs/>
                <w:sz w:val="19"/>
                <w:szCs w:val="19"/>
              </w:rPr>
              <w:t>re events (how applied force affects a bridge or</w:t>
            </w:r>
            <w:r w:rsidR="00E36A4F" w:rsidRPr="000D6E9B">
              <w:rPr>
                <w:iCs/>
                <w:sz w:val="19"/>
                <w:szCs w:val="19"/>
              </w:rPr>
              <w:t xml:space="preserve"> skyscraper</w:t>
            </w:r>
            <w:r w:rsidRPr="000D6E9B">
              <w:rPr>
                <w:iCs/>
                <w:sz w:val="19"/>
                <w:szCs w:val="19"/>
              </w:rPr>
              <w:t>, for example, given the properties of a particular material used for the bridge</w:t>
            </w:r>
            <w:r w:rsidR="00E36A4F" w:rsidRPr="000D6E9B">
              <w:rPr>
                <w:iCs/>
                <w:sz w:val="19"/>
                <w:szCs w:val="19"/>
              </w:rPr>
              <w:t xml:space="preserve">). 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36A4F" w:rsidRPr="000D6E9B" w:rsidRDefault="000D6E9B" w:rsidP="000D6E9B">
            <w:pPr>
              <w:pStyle w:val="Default"/>
              <w:rPr>
                <w:sz w:val="19"/>
                <w:szCs w:val="19"/>
              </w:rPr>
            </w:pPr>
            <w:r w:rsidRPr="000D6E9B">
              <w:rPr>
                <w:iCs/>
                <w:sz w:val="19"/>
                <w:szCs w:val="19"/>
              </w:rPr>
              <w:t>A</w:t>
            </w:r>
            <w:r w:rsidR="00E36A4F" w:rsidRPr="000D6E9B">
              <w:rPr>
                <w:iCs/>
                <w:sz w:val="19"/>
                <w:szCs w:val="19"/>
              </w:rPr>
              <w:t xml:space="preserve">ccurately explains the data shown in a graph </w:t>
            </w:r>
            <w:r w:rsidRPr="000D6E9B">
              <w:rPr>
                <w:iCs/>
                <w:sz w:val="19"/>
                <w:szCs w:val="19"/>
              </w:rPr>
              <w:t>(how applied force affects a bridge or skyscraper, for example, given the properties of a particular material used for the bridge).</w:t>
            </w:r>
          </w:p>
        </w:tc>
        <w:tc>
          <w:tcPr>
            <w:tcW w:w="99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6A4F" w:rsidRPr="000D6E9B" w:rsidRDefault="00E36A4F" w:rsidP="000D6E9B">
            <w:pPr>
              <w:pStyle w:val="Default"/>
              <w:rPr>
                <w:sz w:val="19"/>
                <w:szCs w:val="19"/>
              </w:rPr>
            </w:pPr>
            <w:r w:rsidRPr="000D6E9B">
              <w:rPr>
                <w:sz w:val="19"/>
                <w:szCs w:val="19"/>
              </w:rPr>
              <w:t xml:space="preserve">. </w:t>
            </w:r>
            <w:r w:rsidRPr="000D6E9B">
              <w:rPr>
                <w:iCs/>
                <w:sz w:val="19"/>
                <w:szCs w:val="19"/>
              </w:rPr>
              <w:t xml:space="preserve"> </w:t>
            </w:r>
            <w:r w:rsidR="000D6E9B" w:rsidRPr="000D6E9B">
              <w:rPr>
                <w:iCs/>
                <w:sz w:val="19"/>
                <w:szCs w:val="19"/>
              </w:rPr>
              <w:t>Somewhat a</w:t>
            </w:r>
            <w:r w:rsidRPr="000D6E9B">
              <w:rPr>
                <w:iCs/>
                <w:sz w:val="19"/>
                <w:szCs w:val="19"/>
              </w:rPr>
              <w:t xml:space="preserve">ccurately explains trend data shown in a graph, but may fail to accurately hypothesize </w:t>
            </w:r>
            <w:r w:rsidR="000D6E9B" w:rsidRPr="000D6E9B">
              <w:rPr>
                <w:iCs/>
                <w:sz w:val="19"/>
                <w:szCs w:val="19"/>
              </w:rPr>
              <w:t>how applied force affects a bridge or skyscraper, for example, given the properties of a particular material used for the bridge.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A4F" w:rsidRPr="000D6E9B" w:rsidRDefault="00E36A4F" w:rsidP="000D6E9B">
            <w:pPr>
              <w:pStyle w:val="Default"/>
              <w:rPr>
                <w:sz w:val="19"/>
                <w:szCs w:val="19"/>
              </w:rPr>
            </w:pPr>
            <w:r w:rsidRPr="000D6E9B">
              <w:rPr>
                <w:sz w:val="19"/>
                <w:szCs w:val="19"/>
              </w:rPr>
              <w:t xml:space="preserve">. </w:t>
            </w:r>
            <w:r w:rsidR="000D6E9B" w:rsidRPr="000D6E9B">
              <w:rPr>
                <w:iCs/>
                <w:sz w:val="19"/>
                <w:szCs w:val="19"/>
              </w:rPr>
              <w:t>A</w:t>
            </w:r>
            <w:r w:rsidRPr="000D6E9B">
              <w:rPr>
                <w:iCs/>
                <w:sz w:val="19"/>
                <w:szCs w:val="19"/>
              </w:rPr>
              <w:t>ttempts to explain how applied force is relevant for other structures, but will frequently misinterpret or misapply the formula</w:t>
            </w:r>
            <w:r w:rsidR="000D6E9B" w:rsidRPr="000D6E9B">
              <w:rPr>
                <w:iCs/>
                <w:sz w:val="19"/>
                <w:szCs w:val="19"/>
              </w:rPr>
              <w:t>, given the properties of a particular material chosen in the bridge or skyscraper</w:t>
            </w:r>
          </w:p>
        </w:tc>
      </w:tr>
    </w:tbl>
    <w:p w:rsidR="000D6E9B" w:rsidRDefault="000D6E9B"/>
    <w:sectPr w:rsidR="000D6E9B" w:rsidSect="00E36A4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4F"/>
    <w:rsid w:val="000D6E9B"/>
    <w:rsid w:val="00E36A4F"/>
    <w:rsid w:val="00FF44DB"/>
    <w:rsid w:val="00FF6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4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A4F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4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A4F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Macintosh Word</Application>
  <DocSecurity>0</DocSecurity>
  <Lines>28</Lines>
  <Paragraphs>8</Paragraphs>
  <ScaleCrop>false</ScaleCrop>
  <Company>Lane Community College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Sullivan</dc:creator>
  <cp:keywords/>
  <cp:lastModifiedBy>LCC User</cp:lastModifiedBy>
  <cp:revision>2</cp:revision>
  <dcterms:created xsi:type="dcterms:W3CDTF">2015-08-27T23:12:00Z</dcterms:created>
  <dcterms:modified xsi:type="dcterms:W3CDTF">2015-08-27T23:12:00Z</dcterms:modified>
</cp:coreProperties>
</file>